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322" w:rsidRDefault="0033632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36322" w:rsidRDefault="00336322">
      <w:pPr>
        <w:pStyle w:val="ConsPlusNormal"/>
        <w:jc w:val="both"/>
        <w:outlineLvl w:val="0"/>
      </w:pPr>
    </w:p>
    <w:p w:rsidR="00336322" w:rsidRDefault="00336322">
      <w:pPr>
        <w:pStyle w:val="ConsPlusNormal"/>
        <w:outlineLvl w:val="0"/>
      </w:pPr>
      <w:r>
        <w:t>Зарегистрировано в Минюсте России 18 декабря 2020 г. N 61573</w:t>
      </w:r>
    </w:p>
    <w:p w:rsidR="00336322" w:rsidRDefault="003363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Title"/>
        <w:jc w:val="center"/>
      </w:pPr>
      <w:r>
        <w:t>ФЕДЕРАЛЬНАЯ СЛУЖБА ПО НАДЗОРУ В СФЕРЕ ЗАЩИТЫ</w:t>
      </w:r>
    </w:p>
    <w:p w:rsidR="00336322" w:rsidRDefault="00336322">
      <w:pPr>
        <w:pStyle w:val="ConsPlusTitle"/>
        <w:jc w:val="center"/>
      </w:pPr>
      <w:r>
        <w:t>ПРАВ ПОТРЕБИТЕЛЕЙ И БЛАГОПОЛУЧИЯ ЧЕЛОВЕКА</w:t>
      </w:r>
    </w:p>
    <w:p w:rsidR="00336322" w:rsidRDefault="00336322">
      <w:pPr>
        <w:pStyle w:val="ConsPlusTitle"/>
        <w:jc w:val="center"/>
      </w:pPr>
    </w:p>
    <w:p w:rsidR="00336322" w:rsidRDefault="00336322">
      <w:pPr>
        <w:pStyle w:val="ConsPlusTitle"/>
        <w:jc w:val="center"/>
      </w:pPr>
      <w:r>
        <w:t>ГЛАВНЫЙ ГОСУДАРСТВЕННЫЙ САНИТАРНЫЙ ВРАЧ</w:t>
      </w:r>
    </w:p>
    <w:p w:rsidR="00336322" w:rsidRDefault="00336322">
      <w:pPr>
        <w:pStyle w:val="ConsPlusTitle"/>
        <w:jc w:val="center"/>
      </w:pPr>
      <w:r>
        <w:t>РОССИЙСКОЙ ФЕДЕРАЦИИ</w:t>
      </w:r>
    </w:p>
    <w:p w:rsidR="00336322" w:rsidRDefault="00336322">
      <w:pPr>
        <w:pStyle w:val="ConsPlusTitle"/>
        <w:jc w:val="center"/>
      </w:pPr>
    </w:p>
    <w:p w:rsidR="00336322" w:rsidRDefault="00336322">
      <w:pPr>
        <w:pStyle w:val="ConsPlusTitle"/>
        <w:jc w:val="center"/>
      </w:pPr>
      <w:r>
        <w:t>ПОСТАНОВЛЕНИЕ</w:t>
      </w:r>
    </w:p>
    <w:p w:rsidR="00336322" w:rsidRDefault="00336322">
      <w:pPr>
        <w:pStyle w:val="ConsPlusTitle"/>
        <w:jc w:val="center"/>
      </w:pPr>
      <w:r>
        <w:t>от 28 сентября 2020 г. N 28</w:t>
      </w:r>
    </w:p>
    <w:p w:rsidR="00336322" w:rsidRDefault="00336322">
      <w:pPr>
        <w:pStyle w:val="ConsPlusTitle"/>
        <w:jc w:val="center"/>
      </w:pPr>
    </w:p>
    <w:p w:rsidR="00336322" w:rsidRDefault="00336322">
      <w:pPr>
        <w:pStyle w:val="ConsPlusTitle"/>
        <w:jc w:val="center"/>
      </w:pPr>
      <w:r>
        <w:t>ОБ УТВЕРЖДЕНИИ САНИТАРНЫХ ПРАВИЛ СП 2.4.3648-20</w:t>
      </w:r>
    </w:p>
    <w:p w:rsidR="00336322" w:rsidRDefault="00336322">
      <w:pPr>
        <w:pStyle w:val="ConsPlusTitle"/>
        <w:jc w:val="center"/>
      </w:pPr>
      <w:r>
        <w:t>"САНИТАРНО-ЭПИДЕМИОЛОГИЧЕСКИЕ ТРЕБОВАНИЯ К ОРГАНИЗАЦИЯМ</w:t>
      </w:r>
    </w:p>
    <w:p w:rsidR="00336322" w:rsidRDefault="00336322">
      <w:pPr>
        <w:pStyle w:val="ConsPlusTitle"/>
        <w:jc w:val="center"/>
      </w:pPr>
      <w:r>
        <w:t>ВОСПИТАНИЯ И ОБУЧЕНИЯ, ОТДЫХА И ОЗДОРОВЛЕНИЯ ДЕТЕЙ</w:t>
      </w:r>
    </w:p>
    <w:p w:rsidR="00336322" w:rsidRDefault="00336322">
      <w:pPr>
        <w:pStyle w:val="ConsPlusTitle"/>
        <w:jc w:val="center"/>
      </w:pPr>
      <w:r>
        <w:t>И МОЛОДЕЖИ"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39</w:t>
        </w:r>
      </w:hyperlink>
      <w: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2019, N 30, ст. 4134) и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2004, N 8, ст. 663; N 47, ст. 4666; 2005, N 39, ст. 3953) постановляю: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1. Утвердить санитарные </w:t>
      </w:r>
      <w:hyperlink w:anchor="P71" w:history="1">
        <w:r>
          <w:rPr>
            <w:color w:val="0000FF"/>
          </w:rPr>
          <w:t>правила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молодежи" (приложение).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2. Ввести в действие санитарные </w:t>
      </w:r>
      <w:hyperlink w:anchor="P71" w:history="1">
        <w:r>
          <w:rPr>
            <w:color w:val="0000FF"/>
          </w:rPr>
          <w:t>правила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молодежи" с 01.01.2021.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 Установить срок действия санитарных </w:t>
      </w:r>
      <w:hyperlink w:anchor="P71" w:history="1">
        <w:r>
          <w:rPr>
            <w:color w:val="0000FF"/>
          </w:rPr>
          <w:t>правил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молодежи" до 01.01.2027.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4. Признать утратившими силу с 01.01.2021: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20.11.2002 N 38 "О введении в действие Санитарных правил и нормативов" (зарегистрировано Минюстом России 19.12.2002, регистрационный N 4046);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28.01.2003 N 2 "О введении в действие санитарно-эпидемиологических правил и нормативов СанПиН 2.4.3.1186-03" (зарегистрировано Минюстом России 11.02.2003, регистрационный N 4204);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17.04.2003 N 51 "О введении в действие санитарно-эпидемиологических правил и нормативов СанПиН 2.4.7/1.1.1286-03" (зарегистрировано Минюстом России 05.05.2003, регистрационный N 4499);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03.06.2003 N 118 "О введении в действие санитарно-эпидемиологических правил и нормативов СанПиН 2.2.2/2.4.1340-03" (зарегистрировано Минюстом России 10.06.2003, регистрационный N 4673);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25.04.2007 N 22 "Об утверждении СанПиН 2.2.2/2.4.2198-07" (зарегистрировано Минюстом России 07.06.2007, регистрационный N 9615);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28.04.2007 N 24 "Об утверждении СанПиН 2.4.3.2201-07" (зарегистрировано Минюстом России 07.06.2007, регистрационный N 9610);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23.07.2008 N 45 "Об утверждении СанПиН 2.4.5.2409-08" (зарегистрировано Минюстом России 07.08.2008, регистрационный N 12085);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30.09.2009 N 58 "Об утверждении СанПиН 2.4.6.2553-09" (зарегистрировано Минюстом России 05.11.2009, регистрационный N 15172);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30.09.2009 N 59 "Об утверждении СанПиН 2.4.3.2554-09" (зарегистрировано Минюстом России 06.11.2009, регистрационный N 15197);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19.04.2010 N 25 "Об утверждении СанПиН 2.4.4.2599-10" (зарегистрировано Минюстом России 26.05.2010, регистрационный N 17378);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30.04.2010 N 48 "Об утверждении СанПиН 2.2.2/2.4.2620-10" (зарегистрировано Минюстом России 07.06.2010, регистрационный N 17481);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28.06.2010 N 72 "Об утверждении СанПиН 2.4.7/1.1.2651-10" (зарегистрировано Минюстом России 22.07.2010, регистрационный N 17944);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03.09.2010 N 116 "Об утверждении СанПиН 2.2.2/2.4.2732-10 "Изменение N 3 к СанПиН 2.2.2/2.4.1340-03 "Гигиенические требования к персональным электронно-вычислительным машинам и организации работы" (зарегистрировано Минюстом России 18.10.2010, регистрационный N 18748);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0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29.12.2010 N 189 "Об утверждении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03.03.2011, регистрационный N 19993);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04.03.2011 N 17 "Об утверждении СанПиН 2.4.3.2841-11 "Изменения N 3 к СанПиН 2.4.3.1186-03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(зарегистрировано Минюстом России 29.03.2011, регистрационный N 20327);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18.03.2011 N 22 "Об утверждении СанПиН 2.4.2.2842-11 "Санитарно-эпидемиологические </w:t>
      </w:r>
      <w:r>
        <w:lastRenderedPageBreak/>
        <w:t>требования к устройству, содержанию и организации работы лагерей труда и отдыха для подростков" (зарегистрировано Минюстом России 24.03.2011, регистрационный N 20277);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3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29.06.2011 N 85 "Об утверждении СанПиН 2.4.2.2883-11 "Изменения N 1 к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15.12.2011, регистрационный N 22637);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4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18.03.2011 N 21 "Об утверждении СанПиН 2.4.2.2843-11 "Санитарно-эпидемиологические требования к устройству, содержанию и организации работы детских санаториев" (зарегистрировано Минюстом России 24.03.2011, регистрационный N 20279);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14.05.2013 N 25 "Об утверждении СанПиН 2.4.4.3048-13 "Санитарно-эпидемиологические требования к устройству и организации работы детских лагерей палаточного типа" (зарегистрировано Минюстом России 29.05.2013, регистрационный N 28563);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29.05.2013, регистрационный N 28564);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19.12.2013 N 68 "Об утверждении СанПиН 2.4.1.3147-13 "Санитарно-эпидемиологические требования к дошкольным группам, размещенным в жилых помещениях жилищного фонда" (зарегистрировано Минюстом России 03.02.2014, регистрационный N 31209);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8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25.12.2013 N 72 "О внесении изменений N 2 в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27.03.2014, регистрационный N 31751);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29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27.12.2013 N 73 "Об утверждении СанПиН 2.4.4.3155-13 "Санитарно-эпидемиологические требования к устройству, содержанию и организации работы стационарных организаций отдыха и оздоровления детей" (зарегистрировано Минюстом России 18.04.2014, регистрационный N 32024);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04.07.2014 N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 (зарегистрировано Минюстом России 20.08.2014, регистрационный N 33660);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1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02.12.2014 N 78 "О признании утратившим силу пункта 2.2 СанПиН 2.4.7.1166-02 "Гигиенические требования к изданиям учебным для общего и начального профессионального образования" (зарегистрировано Минюстом России 11.12.2014, регистрационный N 35144);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2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09.02.2015 N 8 "Об утверждении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 (зарегистрировано Минюстом России 26.03.2015, </w:t>
      </w:r>
      <w:r>
        <w:lastRenderedPageBreak/>
        <w:t>регистрационный N 36571);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3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20.07.2015 N 28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03.08.2015, регистрационный N 38312);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4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10.07.2015 N 26 "Об утверждении СанПиН 2.4.2.3286-15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(зарегистрировано Минюстом России 14.08.2015, регистрационный N 38528);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5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27.08.2015 N 41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04.09.2015, регистрационный N 38824);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6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24.11.2015 N 81 "О внесении изменений N 3 в СанПиН 2.4.2.2821-10 "Санитарно-эпидемиологические требования к условиям и организации обучения, содержания в общеобразовательных организациях" (зарегистрировано Минюстом России 18.12.2015, регистрационный N 40154);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7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14.08.2015 N 38 "О внесении изменений в СанПиН 2.4.1.3147-13 "Санитарно-эпидемиологические требования к дошкольным группам, размещенным в жилых помещениях жилищного фонда" (зарегистрировано Минюстом России 19.08.2015, регистрационный N 38591);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8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22.03.2017 N 38 "О внесении изменений в СанПиН 2.4.4.2599-10, СанПиН 2.4.4.3155-13, СанПиН 2.4.4.3048-13, СанПиН 2.4.2.2842-11" (зарегистрировано Минюстом России 11.04.2017, регистрационный N 46337);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39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25.03.2019 N 6 "О внесении изменений в постановление Главного государственного санитарного врача Российской Федерации от 23.07.2008 N 45 "Об утверждении СанПиН 2.4.5.2409-08" (зарегистрировано Минюстом России 08.04.2019, регистрационный N 54310);</w:t>
      </w:r>
    </w:p>
    <w:p w:rsidR="00336322" w:rsidRDefault="00336322">
      <w:pPr>
        <w:pStyle w:val="ConsPlusNormal"/>
        <w:spacing w:before="220"/>
        <w:ind w:firstLine="540"/>
        <w:jc w:val="both"/>
      </w:pPr>
      <w:hyperlink r:id="rId40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22.05.2019 N 8 "О внесении изменений в санитарно-эпидемиологические правила и нормативы СанПиН 2.4.2.2821-10 "Санитарно-эпидемиологические требования к условиям и организации обучения в общеобразовательных учреждениях" (зарегистрировано Минюстом России 28.05.2019, регистрационный N 54764).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jc w:val="right"/>
      </w:pPr>
      <w:r>
        <w:t>А.Ю.ПОПОВА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jc w:val="right"/>
        <w:outlineLvl w:val="0"/>
      </w:pPr>
      <w:r>
        <w:t>Утверждены</w:t>
      </w:r>
    </w:p>
    <w:p w:rsidR="00336322" w:rsidRDefault="00336322">
      <w:pPr>
        <w:pStyle w:val="ConsPlusNormal"/>
        <w:jc w:val="right"/>
      </w:pPr>
      <w:r>
        <w:lastRenderedPageBreak/>
        <w:t>постановлением</w:t>
      </w:r>
    </w:p>
    <w:p w:rsidR="00336322" w:rsidRDefault="00336322">
      <w:pPr>
        <w:pStyle w:val="ConsPlusNormal"/>
        <w:jc w:val="right"/>
      </w:pPr>
      <w:r>
        <w:t>Главного государственного</w:t>
      </w:r>
    </w:p>
    <w:p w:rsidR="00336322" w:rsidRDefault="00336322">
      <w:pPr>
        <w:pStyle w:val="ConsPlusNormal"/>
        <w:jc w:val="right"/>
      </w:pPr>
      <w:r>
        <w:t>санитарного врача</w:t>
      </w:r>
    </w:p>
    <w:p w:rsidR="00336322" w:rsidRDefault="00336322">
      <w:pPr>
        <w:pStyle w:val="ConsPlusNormal"/>
        <w:jc w:val="right"/>
      </w:pPr>
      <w:r>
        <w:t>Российской Федерации</w:t>
      </w:r>
    </w:p>
    <w:p w:rsidR="00336322" w:rsidRDefault="00336322">
      <w:pPr>
        <w:pStyle w:val="ConsPlusNormal"/>
        <w:jc w:val="right"/>
      </w:pPr>
      <w:r>
        <w:t>от 28.09.2020 N 28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Title"/>
        <w:jc w:val="center"/>
      </w:pPr>
      <w:bookmarkStart w:id="0" w:name="P71"/>
      <w:bookmarkEnd w:id="0"/>
      <w:r>
        <w:t>САНИТАРНЫЕ ПРАВИЛА</w:t>
      </w:r>
    </w:p>
    <w:p w:rsidR="00336322" w:rsidRDefault="00336322">
      <w:pPr>
        <w:pStyle w:val="ConsPlusTitle"/>
        <w:jc w:val="center"/>
      </w:pPr>
      <w:r>
        <w:t>СП 2.4.3648-20</w:t>
      </w:r>
    </w:p>
    <w:p w:rsidR="00336322" w:rsidRDefault="00336322">
      <w:pPr>
        <w:pStyle w:val="ConsPlusTitle"/>
        <w:jc w:val="center"/>
      </w:pPr>
    </w:p>
    <w:p w:rsidR="00336322" w:rsidRDefault="00336322">
      <w:pPr>
        <w:pStyle w:val="ConsPlusTitle"/>
        <w:jc w:val="center"/>
      </w:pPr>
      <w:r>
        <w:t>"САНИТАРНО-ЭПИДЕМИОЛОГИЧЕСКИЕ ТРЕБОВАНИЯ</w:t>
      </w:r>
    </w:p>
    <w:p w:rsidR="00336322" w:rsidRDefault="00336322">
      <w:pPr>
        <w:pStyle w:val="ConsPlusTitle"/>
        <w:jc w:val="center"/>
      </w:pPr>
      <w:r>
        <w:t>К ОРГАНИЗАЦИЯМ ВОСПИТАНИЯ И ОБУЧЕНИЯ, ОТДЫХА И ОЗДОРОВЛЕНИЯ</w:t>
      </w:r>
    </w:p>
    <w:p w:rsidR="00336322" w:rsidRDefault="00336322">
      <w:pPr>
        <w:pStyle w:val="ConsPlusTitle"/>
        <w:jc w:val="center"/>
      </w:pPr>
      <w:r>
        <w:t>ДЕТЕЙ И МОЛОДЕЖИ"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Title"/>
        <w:jc w:val="center"/>
        <w:outlineLvl w:val="1"/>
      </w:pPr>
      <w:r>
        <w:t>1. Область применения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bookmarkStart w:id="1" w:name="P80"/>
      <w:bookmarkEnd w:id="1"/>
      <w:r>
        <w:t>1.1.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1.2.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</w:t>
      </w:r>
      <w:hyperlink w:anchor="P80" w:history="1">
        <w:r>
          <w:rPr>
            <w:color w:val="0000FF"/>
          </w:rPr>
          <w:t>пунктом 1.1</w:t>
        </w:r>
      </w:hyperlink>
      <w:r>
        <w:t xml:space="preserve"> Правил (далее - Хозяйствующие субъекты).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Правила не распространяются на проведение экскурсионных мероприятий и организованных походов.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1.3. При разработке проектной документации в отношении зданий, строений, сооружений, помещений, используемых хозяйствующими субъектами при осуществлении деятельности, предусмотренной </w:t>
      </w:r>
      <w:hyperlink w:anchor="P80" w:history="1">
        <w:r>
          <w:rPr>
            <w:color w:val="0000FF"/>
          </w:rPr>
          <w:t>пунктом 1.1</w:t>
        </w:r>
      </w:hyperlink>
      <w:r>
        <w:t xml:space="preserve"> Правил (далее - объекты), должны соблюдаться требования Правил, установленные </w:t>
      </w:r>
      <w:hyperlink w:anchor="P119" w:history="1">
        <w:r>
          <w:rPr>
            <w:color w:val="0000FF"/>
          </w:rPr>
          <w:t>пунктами 2.1.1</w:t>
        </w:r>
      </w:hyperlink>
      <w:r>
        <w:t>, 2.1.2 (</w:t>
      </w:r>
      <w:hyperlink w:anchor="P120" w:history="1">
        <w:r>
          <w:rPr>
            <w:color w:val="0000FF"/>
          </w:rPr>
          <w:t>абзацы первый</w:t>
        </w:r>
      </w:hyperlink>
      <w:r>
        <w:t xml:space="preserve">, </w:t>
      </w:r>
      <w:hyperlink w:anchor="P121" w:history="1">
        <w:r>
          <w:rPr>
            <w:color w:val="0000FF"/>
          </w:rPr>
          <w:t>второй</w:t>
        </w:r>
      </w:hyperlink>
      <w:r>
        <w:t xml:space="preserve">, </w:t>
      </w:r>
      <w:hyperlink w:anchor="P123" w:history="1">
        <w:r>
          <w:rPr>
            <w:color w:val="0000FF"/>
          </w:rPr>
          <w:t>четвертый</w:t>
        </w:r>
      </w:hyperlink>
      <w:r>
        <w:t xml:space="preserve">, </w:t>
      </w:r>
      <w:hyperlink w:anchor="P124" w:history="1">
        <w:r>
          <w:rPr>
            <w:color w:val="0000FF"/>
          </w:rPr>
          <w:t>пятый</w:t>
        </w:r>
      </w:hyperlink>
      <w:r>
        <w:t xml:space="preserve">), </w:t>
      </w:r>
      <w:hyperlink w:anchor="P125" w:history="1">
        <w:r>
          <w:rPr>
            <w:color w:val="0000FF"/>
          </w:rPr>
          <w:t>2.1.3</w:t>
        </w:r>
      </w:hyperlink>
      <w:r>
        <w:t>, 2.2.1 (</w:t>
      </w:r>
      <w:hyperlink w:anchor="P127" w:history="1">
        <w:r>
          <w:rPr>
            <w:color w:val="0000FF"/>
          </w:rPr>
          <w:t>абзацы первый</w:t>
        </w:r>
      </w:hyperlink>
      <w:r>
        <w:t xml:space="preserve"> - </w:t>
      </w:r>
      <w:hyperlink w:anchor="P130" w:history="1">
        <w:r>
          <w:rPr>
            <w:color w:val="0000FF"/>
          </w:rPr>
          <w:t>четвертый</w:t>
        </w:r>
      </w:hyperlink>
      <w:r>
        <w:t>), 2.2.2 (</w:t>
      </w:r>
      <w:hyperlink w:anchor="P131" w:history="1">
        <w:r>
          <w:rPr>
            <w:color w:val="0000FF"/>
          </w:rPr>
          <w:t>абзацы первый</w:t>
        </w:r>
      </w:hyperlink>
      <w:r>
        <w:t xml:space="preserve"> и </w:t>
      </w:r>
      <w:hyperlink w:anchor="P134" w:history="1">
        <w:r>
          <w:rPr>
            <w:color w:val="0000FF"/>
          </w:rPr>
          <w:t>четвертый</w:t>
        </w:r>
      </w:hyperlink>
      <w:r>
        <w:t>), 2.2.3 (</w:t>
      </w:r>
      <w:hyperlink w:anchor="P135" w:history="1">
        <w:r>
          <w:rPr>
            <w:color w:val="0000FF"/>
          </w:rPr>
          <w:t>абзацы первый</w:t>
        </w:r>
      </w:hyperlink>
      <w:r>
        <w:t xml:space="preserve"> и </w:t>
      </w:r>
      <w:hyperlink w:anchor="P137" w:history="1">
        <w:r>
          <w:rPr>
            <w:color w:val="0000FF"/>
          </w:rPr>
          <w:t>третий</w:t>
        </w:r>
      </w:hyperlink>
      <w:r>
        <w:t xml:space="preserve">), </w:t>
      </w:r>
      <w:hyperlink w:anchor="P139" w:history="1">
        <w:r>
          <w:rPr>
            <w:color w:val="0000FF"/>
          </w:rPr>
          <w:t>2.2.5</w:t>
        </w:r>
      </w:hyperlink>
      <w:r>
        <w:t xml:space="preserve">, </w:t>
      </w:r>
      <w:hyperlink w:anchor="P140" w:history="1">
        <w:r>
          <w:rPr>
            <w:color w:val="0000FF"/>
          </w:rPr>
          <w:t>2.2.6</w:t>
        </w:r>
      </w:hyperlink>
      <w:r>
        <w:t xml:space="preserve">, </w:t>
      </w:r>
      <w:hyperlink w:anchor="P142" w:history="1">
        <w:r>
          <w:rPr>
            <w:color w:val="0000FF"/>
          </w:rPr>
          <w:t>2.3.1</w:t>
        </w:r>
      </w:hyperlink>
      <w:r>
        <w:t xml:space="preserve">, </w:t>
      </w:r>
      <w:hyperlink w:anchor="P158" w:history="1">
        <w:r>
          <w:rPr>
            <w:color w:val="0000FF"/>
          </w:rPr>
          <w:t>2.3.2</w:t>
        </w:r>
      </w:hyperlink>
      <w:r>
        <w:t xml:space="preserve"> (абзацы первый и третий), </w:t>
      </w:r>
      <w:hyperlink w:anchor="P159" w:history="1">
        <w:r>
          <w:rPr>
            <w:color w:val="0000FF"/>
          </w:rPr>
          <w:t>2.3.3</w:t>
        </w:r>
      </w:hyperlink>
      <w:r>
        <w:t xml:space="preserve">, </w:t>
      </w:r>
      <w:hyperlink w:anchor="P162" w:history="1">
        <w:r>
          <w:rPr>
            <w:color w:val="0000FF"/>
          </w:rPr>
          <w:t>2.4.1</w:t>
        </w:r>
      </w:hyperlink>
      <w:r>
        <w:t xml:space="preserve">, </w:t>
      </w:r>
      <w:hyperlink w:anchor="P163" w:history="1">
        <w:r>
          <w:rPr>
            <w:color w:val="0000FF"/>
          </w:rPr>
          <w:t>2.4.2</w:t>
        </w:r>
      </w:hyperlink>
      <w:r>
        <w:t>, 2.4.3 (</w:t>
      </w:r>
      <w:hyperlink w:anchor="P164" w:history="1">
        <w:r>
          <w:rPr>
            <w:color w:val="0000FF"/>
          </w:rPr>
          <w:t>абзацы первый</w:t>
        </w:r>
      </w:hyperlink>
      <w:r>
        <w:t xml:space="preserve">, </w:t>
      </w:r>
      <w:hyperlink w:anchor="P169" w:history="1">
        <w:r>
          <w:rPr>
            <w:color w:val="0000FF"/>
          </w:rPr>
          <w:t>третий</w:t>
        </w:r>
      </w:hyperlink>
      <w:r>
        <w:t xml:space="preserve">, </w:t>
      </w:r>
      <w:hyperlink w:anchor="P170" w:history="1">
        <w:r>
          <w:rPr>
            <w:color w:val="0000FF"/>
          </w:rPr>
          <w:t>четвертый</w:t>
        </w:r>
      </w:hyperlink>
      <w:r>
        <w:t xml:space="preserve">, </w:t>
      </w:r>
      <w:hyperlink w:anchor="P173" w:history="1">
        <w:r>
          <w:rPr>
            <w:color w:val="0000FF"/>
          </w:rPr>
          <w:t>седьмой</w:t>
        </w:r>
      </w:hyperlink>
      <w:r>
        <w:t>), 2.4.6 (</w:t>
      </w:r>
      <w:hyperlink w:anchor="P189" w:history="1">
        <w:r>
          <w:rPr>
            <w:color w:val="0000FF"/>
          </w:rPr>
          <w:t>абзацы первый</w:t>
        </w:r>
      </w:hyperlink>
      <w:r>
        <w:t xml:space="preserve">, </w:t>
      </w:r>
      <w:hyperlink w:anchor="P199" w:history="1">
        <w:r>
          <w:rPr>
            <w:color w:val="0000FF"/>
          </w:rPr>
          <w:t>одиннадцатый</w:t>
        </w:r>
      </w:hyperlink>
      <w:r>
        <w:t xml:space="preserve"> - </w:t>
      </w:r>
      <w:hyperlink w:anchor="P202" w:history="1">
        <w:r>
          <w:rPr>
            <w:color w:val="0000FF"/>
          </w:rPr>
          <w:t>четырнадцатый</w:t>
        </w:r>
      </w:hyperlink>
      <w:r>
        <w:t xml:space="preserve">), </w:t>
      </w:r>
      <w:hyperlink w:anchor="P207" w:history="1">
        <w:r>
          <w:rPr>
            <w:color w:val="0000FF"/>
          </w:rPr>
          <w:t>2.4.7</w:t>
        </w:r>
      </w:hyperlink>
      <w:r>
        <w:t>, 2.4.8 (</w:t>
      </w:r>
      <w:hyperlink w:anchor="P208" w:history="1">
        <w:r>
          <w:rPr>
            <w:color w:val="0000FF"/>
          </w:rPr>
          <w:t>абзацы первый</w:t>
        </w:r>
      </w:hyperlink>
      <w:r>
        <w:t xml:space="preserve"> и </w:t>
      </w:r>
      <w:hyperlink w:anchor="P209" w:history="1">
        <w:r>
          <w:rPr>
            <w:color w:val="0000FF"/>
          </w:rPr>
          <w:t>второй</w:t>
        </w:r>
      </w:hyperlink>
      <w:r>
        <w:t xml:space="preserve">), </w:t>
      </w:r>
      <w:hyperlink w:anchor="P213" w:history="1">
        <w:r>
          <w:rPr>
            <w:color w:val="0000FF"/>
          </w:rPr>
          <w:t>2.4.9</w:t>
        </w:r>
      </w:hyperlink>
      <w:r>
        <w:t xml:space="preserve">, </w:t>
      </w:r>
      <w:hyperlink w:anchor="P215" w:history="1">
        <w:r>
          <w:rPr>
            <w:color w:val="0000FF"/>
          </w:rPr>
          <w:t>2.4.10</w:t>
        </w:r>
      </w:hyperlink>
      <w:r>
        <w:t>, 2.4.11 (</w:t>
      </w:r>
      <w:hyperlink w:anchor="P216" w:history="1">
        <w:r>
          <w:rPr>
            <w:color w:val="0000FF"/>
          </w:rPr>
          <w:t>абзацы первый</w:t>
        </w:r>
      </w:hyperlink>
      <w:r>
        <w:t xml:space="preserve">, </w:t>
      </w:r>
      <w:hyperlink w:anchor="P217" w:history="1">
        <w:r>
          <w:rPr>
            <w:color w:val="0000FF"/>
          </w:rPr>
          <w:t>второй</w:t>
        </w:r>
      </w:hyperlink>
      <w:r>
        <w:t xml:space="preserve">, </w:t>
      </w:r>
      <w:hyperlink w:anchor="P220" w:history="1">
        <w:r>
          <w:rPr>
            <w:color w:val="0000FF"/>
          </w:rPr>
          <w:t>пятый</w:t>
        </w:r>
      </w:hyperlink>
      <w:r>
        <w:t xml:space="preserve">), </w:t>
      </w:r>
      <w:hyperlink w:anchor="P221" w:history="1">
        <w:r>
          <w:rPr>
            <w:color w:val="0000FF"/>
          </w:rPr>
          <w:t>2.4.12 (абзац первый)</w:t>
        </w:r>
      </w:hyperlink>
      <w:r>
        <w:t xml:space="preserve">, </w:t>
      </w:r>
      <w:hyperlink w:anchor="P223" w:history="1">
        <w:r>
          <w:rPr>
            <w:color w:val="0000FF"/>
          </w:rPr>
          <w:t>2.4.13</w:t>
        </w:r>
      </w:hyperlink>
      <w:r>
        <w:t xml:space="preserve">, </w:t>
      </w:r>
      <w:hyperlink w:anchor="P224" w:history="1">
        <w:r>
          <w:rPr>
            <w:color w:val="0000FF"/>
          </w:rPr>
          <w:t>2.4.14</w:t>
        </w:r>
      </w:hyperlink>
      <w:r>
        <w:t xml:space="preserve">, </w:t>
      </w:r>
      <w:hyperlink w:anchor="P237" w:history="1">
        <w:r>
          <w:rPr>
            <w:color w:val="0000FF"/>
          </w:rPr>
          <w:t>2.5.1</w:t>
        </w:r>
      </w:hyperlink>
      <w:r>
        <w:t xml:space="preserve">, </w:t>
      </w:r>
      <w:hyperlink w:anchor="P240" w:history="1">
        <w:r>
          <w:rPr>
            <w:color w:val="0000FF"/>
          </w:rPr>
          <w:t>2.5.3 (абзацы второй</w:t>
        </w:r>
      </w:hyperlink>
      <w:r>
        <w:t xml:space="preserve"> и третий), 2.5.4, </w:t>
      </w:r>
      <w:hyperlink w:anchor="P242" w:history="1">
        <w:r>
          <w:rPr>
            <w:color w:val="0000FF"/>
          </w:rPr>
          <w:t>2.6.1</w:t>
        </w:r>
      </w:hyperlink>
      <w:r>
        <w:t xml:space="preserve">, </w:t>
      </w:r>
      <w:hyperlink w:anchor="P248" w:history="1">
        <w:r>
          <w:rPr>
            <w:color w:val="0000FF"/>
          </w:rPr>
          <w:t>2.6.5</w:t>
        </w:r>
      </w:hyperlink>
      <w:r>
        <w:t>, 2.7.1 (</w:t>
      </w:r>
      <w:hyperlink w:anchor="P253" w:history="1">
        <w:r>
          <w:rPr>
            <w:color w:val="0000FF"/>
          </w:rPr>
          <w:t>абзацы первый</w:t>
        </w:r>
      </w:hyperlink>
      <w:r>
        <w:t xml:space="preserve"> и </w:t>
      </w:r>
      <w:hyperlink w:anchor="P254" w:history="1">
        <w:r>
          <w:rPr>
            <w:color w:val="0000FF"/>
          </w:rPr>
          <w:t>второй</w:t>
        </w:r>
      </w:hyperlink>
      <w:r>
        <w:t xml:space="preserve">), </w:t>
      </w:r>
      <w:hyperlink w:anchor="P257" w:history="1">
        <w:r>
          <w:rPr>
            <w:color w:val="0000FF"/>
          </w:rPr>
          <w:t>2.7.2</w:t>
        </w:r>
      </w:hyperlink>
      <w:r>
        <w:t>, 2.7.4 (</w:t>
      </w:r>
      <w:hyperlink w:anchor="P260" w:history="1">
        <w:r>
          <w:rPr>
            <w:color w:val="0000FF"/>
          </w:rPr>
          <w:t>абзацы первый</w:t>
        </w:r>
      </w:hyperlink>
      <w:r>
        <w:t xml:space="preserve"> и </w:t>
      </w:r>
      <w:hyperlink w:anchor="P261" w:history="1">
        <w:r>
          <w:rPr>
            <w:color w:val="0000FF"/>
          </w:rPr>
          <w:t>второй</w:t>
        </w:r>
      </w:hyperlink>
      <w:r>
        <w:t xml:space="preserve">), </w:t>
      </w:r>
      <w:hyperlink w:anchor="P266" w:history="1">
        <w:r>
          <w:rPr>
            <w:color w:val="0000FF"/>
          </w:rPr>
          <w:t>2.8.1</w:t>
        </w:r>
      </w:hyperlink>
      <w:r>
        <w:t>, 2.8.2 (</w:t>
      </w:r>
      <w:hyperlink w:anchor="P267" w:history="1">
        <w:r>
          <w:rPr>
            <w:color w:val="0000FF"/>
          </w:rPr>
          <w:t>абзацы первый</w:t>
        </w:r>
      </w:hyperlink>
      <w:r>
        <w:t xml:space="preserve"> и </w:t>
      </w:r>
      <w:hyperlink w:anchor="P268" w:history="1">
        <w:r>
          <w:rPr>
            <w:color w:val="0000FF"/>
          </w:rPr>
          <w:t>второй</w:t>
        </w:r>
      </w:hyperlink>
      <w:r>
        <w:t xml:space="preserve">), </w:t>
      </w:r>
      <w:hyperlink w:anchor="P285" w:history="1">
        <w:r>
          <w:rPr>
            <w:color w:val="0000FF"/>
          </w:rPr>
          <w:t>2.8.5 (абзац первый)</w:t>
        </w:r>
      </w:hyperlink>
      <w:r>
        <w:t xml:space="preserve">, </w:t>
      </w:r>
      <w:hyperlink w:anchor="P289" w:history="1">
        <w:r>
          <w:rPr>
            <w:color w:val="0000FF"/>
          </w:rPr>
          <w:t>2.8.7</w:t>
        </w:r>
      </w:hyperlink>
      <w:r>
        <w:t xml:space="preserve">, </w:t>
      </w:r>
      <w:hyperlink w:anchor="P290" w:history="1">
        <w:r>
          <w:rPr>
            <w:color w:val="0000FF"/>
          </w:rPr>
          <w:t>2.8.8</w:t>
        </w:r>
      </w:hyperlink>
      <w:r>
        <w:t>, 2.12.2 - ко всем хозяйствующим субъектам с учетом особенностей, определенных для отдельных видов организаций в соответствии с: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382" w:history="1">
        <w:r>
          <w:rPr>
            <w:color w:val="0000FF"/>
          </w:rPr>
          <w:t>пунктами 3.1.1 (абзац первый)</w:t>
        </w:r>
      </w:hyperlink>
      <w:r>
        <w:t>, 3.1.2 (</w:t>
      </w:r>
      <w:hyperlink w:anchor="P408" w:history="1">
        <w:r>
          <w:rPr>
            <w:color w:val="0000FF"/>
          </w:rPr>
          <w:t>абзацы первый</w:t>
        </w:r>
      </w:hyperlink>
      <w:r>
        <w:t xml:space="preserve"> - </w:t>
      </w:r>
      <w:hyperlink w:anchor="P411" w:history="1">
        <w:r>
          <w:rPr>
            <w:color w:val="0000FF"/>
          </w:rPr>
          <w:t>четвертый</w:t>
        </w:r>
      </w:hyperlink>
      <w:r>
        <w:t>), 3.1.3 (</w:t>
      </w:r>
      <w:hyperlink w:anchor="P413" w:history="1">
        <w:r>
          <w:rPr>
            <w:color w:val="0000FF"/>
          </w:rPr>
          <w:t>абзацы первый</w:t>
        </w:r>
      </w:hyperlink>
      <w:r>
        <w:t xml:space="preserve"> - </w:t>
      </w:r>
      <w:hyperlink w:anchor="P419" w:history="1">
        <w:r>
          <w:rPr>
            <w:color w:val="0000FF"/>
          </w:rPr>
          <w:t>седьмой</w:t>
        </w:r>
      </w:hyperlink>
      <w:r>
        <w:t xml:space="preserve">, </w:t>
      </w:r>
      <w:hyperlink w:anchor="P421" w:history="1">
        <w:r>
          <w:rPr>
            <w:color w:val="0000FF"/>
          </w:rPr>
          <w:t>девятый</w:t>
        </w:r>
      </w:hyperlink>
      <w:r>
        <w:t xml:space="preserve">, </w:t>
      </w:r>
      <w:hyperlink w:anchor="P422" w:history="1">
        <w:r>
          <w:rPr>
            <w:color w:val="0000FF"/>
          </w:rPr>
          <w:t>десятый</w:t>
        </w:r>
      </w:hyperlink>
      <w:r>
        <w:t>), 3.1.7 (</w:t>
      </w:r>
      <w:hyperlink w:anchor="P430" w:history="1">
        <w:r>
          <w:rPr>
            <w:color w:val="0000FF"/>
          </w:rPr>
          <w:t>абзацы первый</w:t>
        </w:r>
      </w:hyperlink>
      <w:r>
        <w:t xml:space="preserve">, </w:t>
      </w:r>
      <w:hyperlink w:anchor="P431" w:history="1">
        <w:r>
          <w:rPr>
            <w:color w:val="0000FF"/>
          </w:rPr>
          <w:t>второй</w:t>
        </w:r>
      </w:hyperlink>
      <w:r>
        <w:t xml:space="preserve">, </w:t>
      </w:r>
      <w:hyperlink w:anchor="P433" w:history="1">
        <w:r>
          <w:rPr>
            <w:color w:val="0000FF"/>
          </w:rPr>
          <w:t>четвертый</w:t>
        </w:r>
      </w:hyperlink>
      <w:r>
        <w:t xml:space="preserve">, </w:t>
      </w:r>
      <w:hyperlink w:anchor="P435" w:history="1">
        <w:r>
          <w:rPr>
            <w:color w:val="0000FF"/>
          </w:rPr>
          <w:t>шестой</w:t>
        </w:r>
      </w:hyperlink>
      <w:r>
        <w:t>), 3.1.11 (</w:t>
      </w:r>
      <w:hyperlink w:anchor="P440" w:history="1">
        <w:r>
          <w:rPr>
            <w:color w:val="0000FF"/>
          </w:rPr>
          <w:t>абзацы первый</w:t>
        </w:r>
      </w:hyperlink>
      <w:r>
        <w:t xml:space="preserve"> - </w:t>
      </w:r>
      <w:hyperlink w:anchor="P443" w:history="1">
        <w:r>
          <w:rPr>
            <w:color w:val="0000FF"/>
          </w:rPr>
          <w:t>четвертый</w:t>
        </w:r>
      </w:hyperlink>
      <w:r>
        <w:t xml:space="preserve">, </w:t>
      </w:r>
      <w:hyperlink w:anchor="P445" w:history="1">
        <w:r>
          <w:rPr>
            <w:color w:val="0000FF"/>
          </w:rPr>
          <w:t>шестой</w:t>
        </w:r>
      </w:hyperlink>
      <w:r>
        <w:t xml:space="preserve"> - </w:t>
      </w:r>
      <w:hyperlink w:anchor="P447" w:history="1">
        <w:r>
          <w:rPr>
            <w:color w:val="0000FF"/>
          </w:rPr>
          <w:t>восьмой</w:t>
        </w:r>
      </w:hyperlink>
      <w:r>
        <w:t>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размещенным в жилых и нежилых помещениях жилищного фонда и нежилых зданий,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пунктами 3.2.1 (</w:t>
      </w:r>
      <w:hyperlink w:anchor="P451" w:history="1">
        <w:r>
          <w:rPr>
            <w:color w:val="0000FF"/>
          </w:rPr>
          <w:t>абзац первый</w:t>
        </w:r>
      </w:hyperlink>
      <w:r>
        <w:t xml:space="preserve"> и </w:t>
      </w:r>
      <w:hyperlink w:anchor="P452" w:history="1">
        <w:r>
          <w:rPr>
            <w:color w:val="0000FF"/>
          </w:rPr>
          <w:t>второй</w:t>
        </w:r>
      </w:hyperlink>
      <w:r>
        <w:t xml:space="preserve">), </w:t>
      </w:r>
      <w:hyperlink w:anchor="P457" w:history="1">
        <w:r>
          <w:rPr>
            <w:color w:val="0000FF"/>
          </w:rPr>
          <w:t>3.2.4</w:t>
        </w:r>
      </w:hyperlink>
      <w:r>
        <w:t xml:space="preserve">, </w:t>
      </w:r>
      <w:hyperlink w:anchor="P460" w:history="1">
        <w:r>
          <w:rPr>
            <w:color w:val="0000FF"/>
          </w:rPr>
          <w:t>3.2.7</w:t>
        </w:r>
      </w:hyperlink>
      <w:r>
        <w:t xml:space="preserve"> - в отношении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размещенным в нежилых помещениях,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пунктами 3.3.1 (</w:t>
      </w:r>
      <w:hyperlink w:anchor="P466" w:history="1">
        <w:r>
          <w:rPr>
            <w:color w:val="0000FF"/>
          </w:rPr>
          <w:t>абзац первый</w:t>
        </w:r>
      </w:hyperlink>
      <w:r>
        <w:t xml:space="preserve"> и </w:t>
      </w:r>
      <w:hyperlink w:anchor="P467" w:history="1">
        <w:r>
          <w:rPr>
            <w:color w:val="0000FF"/>
          </w:rPr>
          <w:t>второй</w:t>
        </w:r>
      </w:hyperlink>
      <w:r>
        <w:t xml:space="preserve">), </w:t>
      </w:r>
      <w:hyperlink w:anchor="P472" w:history="1">
        <w:r>
          <w:rPr>
            <w:color w:val="0000FF"/>
          </w:rPr>
          <w:t>3.3.3</w:t>
        </w:r>
      </w:hyperlink>
      <w:r>
        <w:t xml:space="preserve"> - в отношении детских игровых комнат, размещаемым в торгово-развлекательных и культурно-досуговых центрах, павильонах, аэропортах, железнодорожных вокзалах и иных объектах нежилого назначения,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475" w:history="1">
        <w:r>
          <w:rPr>
            <w:color w:val="0000FF"/>
          </w:rPr>
          <w:t>пунктами 3.4.1 (абзац первый)</w:t>
        </w:r>
      </w:hyperlink>
      <w:r>
        <w:t xml:space="preserve">, </w:t>
      </w:r>
      <w:hyperlink w:anchor="P478" w:history="1">
        <w:r>
          <w:rPr>
            <w:color w:val="0000FF"/>
          </w:rPr>
          <w:t>3.4.2</w:t>
        </w:r>
      </w:hyperlink>
      <w:r>
        <w:t>, 3.4.3 (</w:t>
      </w:r>
      <w:hyperlink w:anchor="P479" w:history="1">
        <w:r>
          <w:rPr>
            <w:color w:val="0000FF"/>
          </w:rPr>
          <w:t>абзацы первый</w:t>
        </w:r>
      </w:hyperlink>
      <w:r>
        <w:t xml:space="preserve"> - </w:t>
      </w:r>
      <w:hyperlink w:anchor="P481" w:history="1">
        <w:r>
          <w:rPr>
            <w:color w:val="0000FF"/>
          </w:rPr>
          <w:t>третий</w:t>
        </w:r>
      </w:hyperlink>
      <w:r>
        <w:t xml:space="preserve">), </w:t>
      </w:r>
      <w:hyperlink w:anchor="P482" w:history="1">
        <w:r>
          <w:rPr>
            <w:color w:val="0000FF"/>
          </w:rPr>
          <w:t>3.4.4</w:t>
        </w:r>
      </w:hyperlink>
      <w:r>
        <w:t xml:space="preserve">, </w:t>
      </w:r>
      <w:hyperlink w:anchor="P483" w:history="1">
        <w:r>
          <w:rPr>
            <w:color w:val="0000FF"/>
          </w:rPr>
          <w:t>3.4.5</w:t>
        </w:r>
      </w:hyperlink>
      <w:r>
        <w:t xml:space="preserve">, </w:t>
      </w:r>
      <w:hyperlink w:anchor="P489" w:history="1">
        <w:r>
          <w:rPr>
            <w:color w:val="0000FF"/>
          </w:rPr>
          <w:t>3.4.9</w:t>
        </w:r>
      </w:hyperlink>
      <w:r>
        <w:t xml:space="preserve"> - </w:t>
      </w:r>
      <w:hyperlink w:anchor="P496" w:history="1">
        <w:r>
          <w:rPr>
            <w:color w:val="0000FF"/>
          </w:rPr>
          <w:t>3.4.13</w:t>
        </w:r>
      </w:hyperlink>
      <w:r>
        <w:t>, 3.4.14 (</w:t>
      </w:r>
      <w:hyperlink w:anchor="P497" w:history="1">
        <w:r>
          <w:rPr>
            <w:color w:val="0000FF"/>
          </w:rPr>
          <w:t>абзацы первый</w:t>
        </w:r>
      </w:hyperlink>
      <w:r>
        <w:t xml:space="preserve"> - </w:t>
      </w:r>
      <w:hyperlink w:anchor="P500" w:history="1">
        <w:r>
          <w:rPr>
            <w:color w:val="0000FF"/>
          </w:rPr>
          <w:t>четвертый</w:t>
        </w:r>
      </w:hyperlink>
      <w:r>
        <w:t xml:space="preserve">, </w:t>
      </w:r>
      <w:hyperlink w:anchor="P502" w:history="1">
        <w:r>
          <w:rPr>
            <w:color w:val="0000FF"/>
          </w:rPr>
          <w:t>шестой</w:t>
        </w:r>
      </w:hyperlink>
      <w:r>
        <w:t>) - в отношении организаций, реализующих образовательные программы начального общего, основного общего и среднего общего образования,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570" w:history="1">
        <w:r>
          <w:rPr>
            <w:color w:val="0000FF"/>
          </w:rPr>
          <w:t>пунктами 3.6.1</w:t>
        </w:r>
      </w:hyperlink>
      <w:r>
        <w:t>, 3.6.3 (</w:t>
      </w:r>
      <w:hyperlink w:anchor="P580" w:history="1">
        <w:r>
          <w:rPr>
            <w:color w:val="0000FF"/>
          </w:rPr>
          <w:t>абзацы первый</w:t>
        </w:r>
      </w:hyperlink>
      <w:r>
        <w:t xml:space="preserve"> - </w:t>
      </w:r>
      <w:hyperlink w:anchor="P583" w:history="1">
        <w:r>
          <w:rPr>
            <w:color w:val="0000FF"/>
          </w:rPr>
          <w:t>четвертый</w:t>
        </w:r>
      </w:hyperlink>
      <w:r>
        <w:t>) - в отношении организаций дополнительного образования и физкультурно-спортивных организаций,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589" w:history="1">
        <w:r>
          <w:rPr>
            <w:color w:val="0000FF"/>
          </w:rPr>
          <w:t>пунктами 3.7.2</w:t>
        </w:r>
      </w:hyperlink>
      <w:r>
        <w:t xml:space="preserve">, </w:t>
      </w:r>
      <w:hyperlink w:anchor="P594" w:history="1">
        <w:r>
          <w:rPr>
            <w:color w:val="0000FF"/>
          </w:rPr>
          <w:t>3.7.4</w:t>
        </w:r>
      </w:hyperlink>
      <w:r>
        <w:t xml:space="preserve">, </w:t>
      </w:r>
      <w:hyperlink w:anchor="P595" w:history="1">
        <w:r>
          <w:rPr>
            <w:color w:val="0000FF"/>
          </w:rPr>
          <w:t>3.7.5</w:t>
        </w:r>
      </w:hyperlink>
      <w:r>
        <w:t xml:space="preserve"> - в отношении организаций для детей-сирот и детей, оставшихся без попечения родителей;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597" w:history="1">
        <w:r>
          <w:rPr>
            <w:color w:val="0000FF"/>
          </w:rPr>
          <w:t>пунктами 3.8.1</w:t>
        </w:r>
      </w:hyperlink>
      <w:r>
        <w:t xml:space="preserve"> - 3.8.4 - в отношении организаций социального обслуживания семьи и детей,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610" w:history="1">
        <w:r>
          <w:rPr>
            <w:color w:val="0000FF"/>
          </w:rPr>
          <w:t>пунктами 3.9.1</w:t>
        </w:r>
      </w:hyperlink>
      <w:r>
        <w:t>, 3.9.2 (</w:t>
      </w:r>
      <w:hyperlink w:anchor="P612" w:history="1">
        <w:r>
          <w:rPr>
            <w:color w:val="0000FF"/>
          </w:rPr>
          <w:t>абзацы первый</w:t>
        </w:r>
      </w:hyperlink>
      <w:r>
        <w:t xml:space="preserve"> и </w:t>
      </w:r>
      <w:hyperlink w:anchor="P613" w:history="1">
        <w:r>
          <w:rPr>
            <w:color w:val="0000FF"/>
          </w:rPr>
          <w:t>второй</w:t>
        </w:r>
      </w:hyperlink>
      <w:r>
        <w:t>), 3.9.3 (</w:t>
      </w:r>
      <w:hyperlink w:anchor="P615" w:history="1">
        <w:r>
          <w:rPr>
            <w:color w:val="0000FF"/>
          </w:rPr>
          <w:t>абзацы первый</w:t>
        </w:r>
      </w:hyperlink>
      <w:r>
        <w:t xml:space="preserve">, </w:t>
      </w:r>
      <w:hyperlink w:anchor="P616" w:history="1">
        <w:r>
          <w:rPr>
            <w:color w:val="0000FF"/>
          </w:rPr>
          <w:t>второй</w:t>
        </w:r>
      </w:hyperlink>
      <w:r>
        <w:t xml:space="preserve">, </w:t>
      </w:r>
      <w:hyperlink w:anchor="P618" w:history="1">
        <w:r>
          <w:rPr>
            <w:color w:val="0000FF"/>
          </w:rPr>
          <w:t>четвертый</w:t>
        </w:r>
      </w:hyperlink>
      <w:r>
        <w:t xml:space="preserve">, </w:t>
      </w:r>
      <w:hyperlink w:anchor="P620" w:history="1">
        <w:r>
          <w:rPr>
            <w:color w:val="0000FF"/>
          </w:rPr>
          <w:t>шестой</w:t>
        </w:r>
      </w:hyperlink>
      <w:r>
        <w:t xml:space="preserve">), </w:t>
      </w:r>
      <w:hyperlink w:anchor="P622" w:history="1">
        <w:r>
          <w:rPr>
            <w:color w:val="0000FF"/>
          </w:rPr>
          <w:t>3.9.4</w:t>
        </w:r>
      </w:hyperlink>
      <w:r>
        <w:t xml:space="preserve"> - в отношении профессиональных образовательных организаций,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630" w:history="1">
        <w:r>
          <w:rPr>
            <w:color w:val="0000FF"/>
          </w:rPr>
          <w:t>пунктами 3.10.1</w:t>
        </w:r>
      </w:hyperlink>
      <w:r>
        <w:t xml:space="preserve">, </w:t>
      </w:r>
      <w:hyperlink w:anchor="P632" w:history="1">
        <w:r>
          <w:rPr>
            <w:color w:val="0000FF"/>
          </w:rPr>
          <w:t>3.10.2</w:t>
        </w:r>
      </w:hyperlink>
      <w:r>
        <w:t xml:space="preserve"> - в отношении образовательных организаций высшего образования,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645" w:history="1">
        <w:r>
          <w:rPr>
            <w:color w:val="0000FF"/>
          </w:rPr>
          <w:t>пунктами 3.11.3 (абзац первый)</w:t>
        </w:r>
      </w:hyperlink>
      <w:r>
        <w:t xml:space="preserve">, </w:t>
      </w:r>
      <w:hyperlink w:anchor="P648" w:history="1">
        <w:r>
          <w:rPr>
            <w:color w:val="0000FF"/>
          </w:rPr>
          <w:t>3.11.4</w:t>
        </w:r>
      </w:hyperlink>
      <w:r>
        <w:t xml:space="preserve">, </w:t>
      </w:r>
      <w:hyperlink w:anchor="P652" w:history="1">
        <w:r>
          <w:rPr>
            <w:color w:val="0000FF"/>
          </w:rPr>
          <w:t>3.11.5</w:t>
        </w:r>
      </w:hyperlink>
      <w:r>
        <w:t xml:space="preserve">, </w:t>
      </w:r>
      <w:hyperlink w:anchor="P655" w:history="1">
        <w:r>
          <w:rPr>
            <w:color w:val="0000FF"/>
          </w:rPr>
          <w:t>3.11.6</w:t>
        </w:r>
      </w:hyperlink>
      <w:r>
        <w:t xml:space="preserve"> - в отношении загородных стационарных детских оздоровительных лагерей с круглосуточным пребыванием,</w:t>
      </w:r>
    </w:p>
    <w:p w:rsidR="00336322" w:rsidRDefault="00336322">
      <w:pPr>
        <w:pStyle w:val="ConsPlusNormal"/>
        <w:spacing w:before="220"/>
        <w:ind w:firstLine="540"/>
        <w:jc w:val="both"/>
      </w:pPr>
      <w:hyperlink w:anchor="P720" w:history="1">
        <w:r>
          <w:rPr>
            <w:color w:val="0000FF"/>
          </w:rPr>
          <w:t>пунктом 3.15</w:t>
        </w:r>
      </w:hyperlink>
      <w:r>
        <w:t xml:space="preserve"> - в отношении хозяйствующих субъектов, предоставляющих услуги временного размещению организованных групп детей в общежитиях, гостиницах, загородных отелях, туристических базах, базах отдыха.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1.4.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законодательству,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&lt;1&gt;.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&lt;1&gt; </w:t>
      </w:r>
      <w:hyperlink r:id="rId41" w:history="1">
        <w:r>
          <w:rPr>
            <w:color w:val="0000FF"/>
          </w:rPr>
          <w:t>Пункт 2 статьи 40</w:t>
        </w:r>
      </w:hyperlink>
      <w: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2003, N 2, ст. 167; 2007, N 46, ст. 5554; 2009, N 1, ст. 17; 2011, N 30 (ч. 1), ст. 4596; 2015, N 1 (часть I), ст. 11) и пункт 2 статьи 12 Федеральный закон от 24.07.1998 N 124-ФЗ "Об основных гарантиях прав ребенка в Российской Федерации" (Собрание законодательства Российской Федерации, 1998, N 31, ст. 3802; 2019, N 42 (часть II), ст. 5801);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1.5. 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 &lt;2&gt;,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пищи - ежегодно) вакцинации &lt;3&gt; и иметь личную медицинскую книжку &lt;4&gt;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&lt;2&gt; </w:t>
      </w:r>
      <w:hyperlink r:id="rId42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12.04.2011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(Зарегистрировано Минюстом России 21.10.2011 N 22111) (зарегистрирован Минюстом России 21.10.2011, регистрационный N 22111), с изменениями, внесенными приказами Минздрава России от 15.05.2013 N 296н (зарегистрирован Минюстом России 03.07.2013, регистрационный N 28970), от 05.12.2014 N 801н (зарегистрирован Минюстом России 03.02.2015, регистрационный N 35848), от 13.12.2019 N 1032н (зарегистрирован Минюстом России 24.12.2019, регистрационный N 56976), приказами Минтруда России и Минздрава России от 06.02.2018 N 62н/49н (зарегистрирован Минюстом России 02.03.2018, регистрационный N 50237) и от 03.04.2020 N 187н/268н (зарегистрирован Минюстом России 12.05.2020, регистрационный N 58320), приказом Минздрава России от 18.05.2020 N 455н (зарегистрирован Минюстом России 22.05.2020 N 58430);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&lt;3&gt; </w:t>
      </w:r>
      <w:hyperlink r:id="rId43" w:history="1">
        <w:r>
          <w:rPr>
            <w:color w:val="0000FF"/>
          </w:rPr>
          <w:t>Приказ</w:t>
        </w:r>
      </w:hyperlink>
      <w:r>
        <w:t xml:space="preserve"> Минздрава России от 21.03.2014 N 125н "Об утверждении национального календаря профилактических прививок и календаря профилактических прививок по эпидемическим показаниям" (зарегистрировано Минюстом России 25.04.2014 N 32115) (зарегистрирован Минюстом России 25.04.2014, регистрационный N 32115), с изменениями, внесенными приказами Минздрава России от 16.06.2016 N 370н (зарегистрирован Минюстом России 04.07.2016, регистрационный N 42728), от 13.04.2017 N 175н (зарегистрирован Минюстом России 17.05.2017, регистрационный N 46745), от 19.02.2019 N 69н (зарегистрирован Минюстом России 19.03.2019, регистрационный N 54089), от 24.04.2019 N 243н (зарегистрирован Минюстом России 15.07.2019, регистрационный N 55249);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&lt;4&gt; </w:t>
      </w:r>
      <w:hyperlink r:id="rId44" w:history="1">
        <w:r>
          <w:rPr>
            <w:color w:val="0000FF"/>
          </w:rPr>
          <w:t>Статья 34</w:t>
        </w:r>
      </w:hyperlink>
      <w: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2004, N 35, ст. 3607; 2011, N 1, ст. 6; N 30 (ч. 1), ст. 4590; 2013, N 48, ст. 6165).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1.6.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1.7. Проведение всех видов ремонтных работ в присутствии детей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1.8. На объектах должен осуществляться производственный контроль за соблюдением санитарных правил и гигиенических нормативов.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" w:name="P109"/>
      <w:bookmarkEnd w:id="2"/>
      <w:r>
        <w:t>1.9. При нахождении детей и молодежи на объектах более 4 часов обеспечивается возможность организации горячего питания.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1.10. 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</w:p>
    <w:p w:rsidR="00336322" w:rsidRDefault="0033632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3363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6322" w:rsidRDefault="0033632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6322" w:rsidRDefault="0033632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6322" w:rsidRDefault="0033632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36322" w:rsidRDefault="00336322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6322" w:rsidRDefault="00336322">
            <w:pPr>
              <w:spacing w:after="1" w:line="0" w:lineRule="atLeast"/>
            </w:pPr>
          </w:p>
        </w:tc>
      </w:tr>
    </w:tbl>
    <w:p w:rsidR="00336322" w:rsidRDefault="00336322">
      <w:pPr>
        <w:pStyle w:val="ConsPlusNormal"/>
        <w:spacing w:before="280"/>
        <w:ind w:firstLine="540"/>
        <w:jc w:val="both"/>
      </w:pPr>
      <w:r>
        <w:t>1.12. Количественные значения факторов, характеризующих условия воспитания, обучения и оздоровления детей и молодежи, должны соответствовать гигиеническим нормативам.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Title"/>
        <w:jc w:val="center"/>
        <w:outlineLvl w:val="1"/>
      </w:pPr>
      <w:r>
        <w:t>II. Общие требования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2.1. При размещении объектов хозяйствующим субъектом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" w:name="P119"/>
      <w:bookmarkEnd w:id="3"/>
      <w:r>
        <w:t>2.1.1. Через собственную территорию не должны проходить магистральные нефтепроводы, газопроводы и нефтепродуктопроводы, сети инженерно-технического обеспечения, предназначенные для обеспечения населенных пунктов, а также изолированные (транзитные) тепловые сети, которыми непосредственно не осуществляется теплоснабжение объектов.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" w:name="P120"/>
      <w:bookmarkEnd w:id="4"/>
      <w:r>
        <w:t>2.1.2.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" w:name="P121"/>
      <w:bookmarkEnd w:id="5"/>
      <w:r>
        <w:t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расстояниях,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километров в одну сторону.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" w:name="P123"/>
      <w:bookmarkEnd w:id="6"/>
      <w:r>
        <w:t>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" w:name="P124"/>
      <w:bookmarkEnd w:id="7"/>
      <w:r>
        <w:t>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" w:name="P125"/>
      <w:bookmarkEnd w:id="8"/>
      <w:r>
        <w:t xml:space="preserve">2.1.3. В районах Крайнего Севера и приравненных к ним местностях обеспечиваются </w:t>
      </w:r>
      <w:r>
        <w:lastRenderedPageBreak/>
        <w:t>ветрозащита, а также снегозащита собственной территории.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2.2. На территории хозяйствующего субъекта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" w:name="P127"/>
      <w:bookmarkEnd w:id="9"/>
      <w:r>
        <w:t>2.2.1.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" w:name="P130"/>
      <w:bookmarkEnd w:id="10"/>
      <w:r>
        <w:t>На собственной территории не должно быть плодоносящих ядовитыми плодами деревьев и кустарников.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" w:name="P131"/>
      <w:bookmarkEnd w:id="11"/>
      <w:r>
        <w:t>2.2.2.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Спортивные занятия и мероприятия на сырых площадках и (или) на площадках, имеющих дефекты, не проводятся.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2" w:name="P134"/>
      <w:bookmarkEnd w:id="12"/>
      <w:r>
        <w:t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3" w:name="P135"/>
      <w:bookmarkEnd w:id="13"/>
      <w:r>
        <w:t>2.2.3.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площадке устанавливаются контейнеры (мусоросборники) с закрывающимися крышками.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4" w:name="P137"/>
      <w:bookmarkEnd w:id="14"/>
      <w:r>
        <w:t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2.2.4. Покрытие проездов, подходов и дорожек на собственной территории не должно иметь дефектов.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5" w:name="P139"/>
      <w:bookmarkEnd w:id="15"/>
      <w:r>
        <w:t>2.2.5. Расположение на собственной территории построек и сооружений, функционально не связанных с деятельностью хозяйствующего субъекта,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6" w:name="P140"/>
      <w:bookmarkEnd w:id="16"/>
      <w:r>
        <w:t>2.2.6.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2.3.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</w:t>
      </w:r>
      <w:r>
        <w:lastRenderedPageBreak/>
        <w:t>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7" w:name="P142"/>
      <w:bookmarkEnd w:id="17"/>
      <w:r>
        <w:t>2.3.1.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Неотапливаемые переходы допускаются: при следующих климатических условиях: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среднемесячной температуре воздуха в январе от -5 °C до +2 °C, средней скорости ветра за три зимних месяца 5 и более м/с, среднемесячной температуре воздуха в июле от +21 °C до +25 °C, среднемесячной относительной влажности воздуха в июле - более 75%,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среднемесячной температуре воздуха в январе от -15 °C до +6 °C, среднемесячной температуре воздуха в июле от +22 °C и выше, среднемесячной относительной влажности воздуха в июле - более 50%.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Организации, реализующие программы начального общего, основного общего и среднего общего образования размещаются на собственной территории в отдельно стоящих зданиях.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Организации, реализующие программы начального общего, основного общего и среднего общего образования,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Подвальные помещения должны быть сухими, не содержащими следы загрязнений, плесени и грибка, не допускается наличие в них мусора.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образования, размещаются не выше третьего этажа здания, если иное не определено Правилами.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пребыванием,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</w:t>
      </w:r>
      <w:r>
        <w:lastRenderedPageBreak/>
        <w:t>комнаты), или комнаты для осуществления присмотра и ухода (игровые комнаты и (или) гостиные), душевые, умывальные, туалеты для проживающих, помещения для стирки, сушки и глажки белья, комнаты для хранения постельного белья, комнаты и туалеты для персонала.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 &lt;5&gt;).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&lt;5&gt; </w:t>
      </w:r>
      <w:hyperlink r:id="rId45" w:history="1">
        <w:r>
          <w:rPr>
            <w:color w:val="0000FF"/>
          </w:rPr>
          <w:t>Часть 3 статьи 41</w:t>
        </w:r>
      </w:hyperlink>
      <w:r>
        <w:t xml:space="preserve"> Федерального закона от 29.12.2012 N 273-ФЗ "Об образовании в Российской Федерации" (Собрание законодательства Российской Федерации, 31.12.2012, N 53 (ч. 1), ст. 7598; 2016, N 27 (часть II), ст. 4246).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bookmarkStart w:id="18" w:name="P158"/>
      <w:bookmarkEnd w:id="18"/>
      <w:r>
        <w:t>2.3.2.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среды для инвалидов.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9" w:name="P159"/>
      <w:bookmarkEnd w:id="19"/>
      <w:r>
        <w:t>2.3.3.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2.4. В объектах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0" w:name="P162"/>
      <w:bookmarkEnd w:id="20"/>
      <w:r>
        <w:t xml:space="preserve">2.4.1. Входы в здания оборудуются тамбурами или воздушно-тепловыми завесами, если иное не определено </w:t>
      </w:r>
      <w:hyperlink w:anchor="P378" w:history="1">
        <w:r>
          <w:rPr>
            <w:color w:val="0000FF"/>
          </w:rPr>
          <w:t>главой III</w:t>
        </w:r>
      </w:hyperlink>
      <w:r>
        <w:t xml:space="preserve"> Правил.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1" w:name="P163"/>
      <w:bookmarkEnd w:id="21"/>
      <w:r>
        <w:t xml:space="preserve">2.4.2. Количество обучающихся, воспитанников и отдыхающих не должно превышать установленное </w:t>
      </w:r>
      <w:hyperlink w:anchor="P382" w:history="1">
        <w:r>
          <w:rPr>
            <w:color w:val="0000FF"/>
          </w:rPr>
          <w:t>пунктами 3.1.1</w:t>
        </w:r>
      </w:hyperlink>
      <w:r>
        <w:t xml:space="preserve">, </w:t>
      </w:r>
      <w:hyperlink w:anchor="P497" w:history="1">
        <w:r>
          <w:rPr>
            <w:color w:val="0000FF"/>
          </w:rPr>
          <w:t>3.4.14</w:t>
        </w:r>
      </w:hyperlink>
      <w:r>
        <w:t xml:space="preserve"> Правил и гигиенические нормативы.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2" w:name="P164"/>
      <w:bookmarkEnd w:id="22"/>
      <w:r>
        <w:t>2.4.3.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&lt;6&gt; </w:t>
      </w:r>
      <w:hyperlink r:id="rId46" w:history="1">
        <w:r>
          <w:rPr>
            <w:color w:val="0000FF"/>
          </w:rPr>
          <w:t>ТР ТС 025/2012</w:t>
        </w:r>
      </w:hyperlink>
      <w:r>
        <w:t xml:space="preserve"> "Технический регламент Таможенного союза. О безопасности мебельной продукции", утвержденный решением Совета Евразийской экономической комиссии от 15.06.2012 N 32 (Официальный сайт Комиссии Таможенного союза http://www.tsouz.ru/, 18.06.2012) (далее - ТР ТС 025/2012).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 xml:space="preserve">Мебель для учебных заведений (парты, столы и стулья) обеспечивается цветовой маркировкой в соответствии с ростовой группой (кроме палаточных лагерей и организаций, осуществляющих образовательную деятельность по образовательным программам высшего </w:t>
      </w:r>
      <w:r>
        <w:lastRenderedPageBreak/>
        <w:t>образования). Цветовая маркировка наносится на боковую наружную поверхность стола и стула.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3" w:name="P169"/>
      <w:bookmarkEnd w:id="23"/>
      <w:r>
        <w:t>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4" w:name="P170"/>
      <w:bookmarkEnd w:id="24"/>
      <w:r>
        <w:t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Детей рассаживают с учетом роста, наличия заболеваний органов дыхания, слуха и зрения.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расположении парт (столов), используемых при организации обучения и воспитания обучающихся с ограниченными возможностями здоровья и инвалидов, следует учитывать особенности физического развития обучающихся.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5" w:name="P173"/>
      <w:bookmarkEnd w:id="25"/>
      <w:r>
        <w:t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</w:t>
      </w:r>
      <w:hyperlink r:id="rId47" w:history="1">
        <w:r>
          <w:rPr>
            <w:color w:val="0000FF"/>
          </w:rPr>
          <w:t>ТР ТС 025/2012</w:t>
        </w:r>
      </w:hyperlink>
      <w:r>
        <w:t>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Покрытие столов и стульев должно не иметь дефектов и повреждений и быть выполненным из материалов, устойчивых к воздействию влаги, моющих и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2.4.4. Помещения, предназначенные для организации учебного процесса, оборудуются классными досками.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оборудовании учебных помещений интерактивной доской (интерактивной панелью) нужно учитывать ее размер и размещение, которые должны обеспечивать обучающимся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Интерактивная доска должна быть расположена по центру фронтальной стены классного помещения.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маркерной доски цвет маркера должен быть контрастного цвета по отношению к цвету доски.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2.4.5.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Использование ЭСО должно осуществляться при условии их соответствия Единым </w:t>
      </w:r>
      <w:r>
        <w:lastRenderedPageBreak/>
        <w:t xml:space="preserve">санитарно-эпидемиологическим и гигиеническим </w:t>
      </w:r>
      <w:hyperlink r:id="rId48" w:history="1">
        <w:r>
          <w:rPr>
            <w:color w:val="0000FF"/>
          </w:rPr>
          <w:t>требованиям</w:t>
        </w:r>
      </w:hyperlink>
      <w:r>
        <w:t xml:space="preserve"> к продукции (товарам), подлежащей санитарно-эпидемиологическому надзору (контролю) &lt;7&gt;.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&lt;7&gt; Утверждены </w:t>
      </w:r>
      <w:hyperlink r:id="rId49" w:history="1">
        <w:r>
          <w:rPr>
            <w:color w:val="0000FF"/>
          </w:rPr>
          <w:t>решением</w:t>
        </w:r>
      </w:hyperlink>
      <w:r>
        <w:t xml:space="preserve"> Комиссии Таможенного союза от 28.05.2010 N 299 "О применении санитарных мер в таможенном союзе" (Официальный сайт Комиссии Таможенного союза http://www.tsouz.ru/, 28.06.2010) (далее - Единые санитарные требования).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6" w:name="P189"/>
      <w:bookmarkEnd w:id="26"/>
      <w:r>
        <w:t>2.4.6. При организации питания хозяйствующими субъектами должны соблюдаться следующие требования.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7" w:name="P190"/>
      <w:bookmarkEnd w:id="27"/>
      <w:r>
        <w:t>2.4.6.1.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предназначенные для доготовив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8" w:name="P192"/>
      <w:bookmarkEnd w:id="28"/>
      <w:r>
        <w:t>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2.4.6.2.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приборов.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Посуда для приготовления блюд должна быть выполнена из нержавеющей стали. Инвентарь, используемый для раздачи и порционирования блюд, должен иметь мерную метку объема в литрах и (или) миллилитрах.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Хранение стерильных бутылочек, сосок и пустышек должно быть организовано в специальной промаркированной посуде с крышкой.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29" w:name="P198"/>
      <w:bookmarkEnd w:id="29"/>
      <w:r>
        <w:t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0" w:name="P199"/>
      <w:bookmarkEnd w:id="30"/>
      <w:r>
        <w:lastRenderedPageBreak/>
        <w:t>Технологическое и холодильное оборудование должно быть исправным и способным поддерживать температурный режим.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лиственных пород.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1" w:name="P202"/>
      <w:bookmarkEnd w:id="31"/>
      <w:r>
        <w:t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обеззараживания воздуха в холодном цехе используется бактерицидная установка для обеззараживания воздуха.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2.4.6.3.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2" w:name="P207"/>
      <w:bookmarkEnd w:id="32"/>
      <w:r>
        <w:t>2.4.7.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3" w:name="P208"/>
      <w:bookmarkEnd w:id="33"/>
      <w:r>
        <w:t>2.4.8.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4" w:name="P209"/>
      <w:bookmarkEnd w:id="34"/>
      <w:r>
        <w:t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Каждое спальное место обеспечивается комплектом постельных принадлежностей (матрацем с наматрасником,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комплектов постельного белья, наматрасников и полотенец (для лица и для ног, а также банного) должно быть не менее 2 комплектов на одного человека.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Для организаций, осуществляющих образовательную деятельность по образовательным программам среднего профессионального, высшего образования, допускается использование </w:t>
      </w:r>
      <w:r>
        <w:lastRenderedPageBreak/>
        <w:t>личных постельных принадлежностей и спальных мест.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5" w:name="P213"/>
      <w:bookmarkEnd w:id="35"/>
      <w:r>
        <w:t>2.4.9. Мебель должна иметь покрытие, допускающее проведение влажной уборки с применением моющих и дезинфекционных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Используемое спортивное оборудование должно быть выполнено из материалов, допускающих их влажную обработку моющими и дезинфекционными средствами.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6" w:name="P215"/>
      <w:bookmarkEnd w:id="36"/>
      <w:r>
        <w:t>2.4.10. При установке в помещениях телевизионной аппаратуры расстояние от ближайшего места просмотра до экрана должно быть не менее 2 метров.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7" w:name="P216"/>
      <w:bookmarkEnd w:id="37"/>
      <w:r>
        <w:t>2.4.11.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 Площадь туалетов для детей до 3 лет должна составлять не менее 12 м</w:t>
      </w:r>
      <w:r>
        <w:rPr>
          <w:vertAlign w:val="superscript"/>
        </w:rPr>
        <w:t>2</w:t>
      </w:r>
      <w:r>
        <w:t>, от 3 до 7 лет - 16,0 м</w:t>
      </w:r>
      <w:r>
        <w:rPr>
          <w:vertAlign w:val="superscript"/>
        </w:rPr>
        <w:t>2</w:t>
      </w:r>
      <w:r>
        <w:t>; для детей старше 7 лет - не менее 0,1 м</w:t>
      </w:r>
      <w:r>
        <w:rPr>
          <w:vertAlign w:val="superscript"/>
        </w:rPr>
        <w:t>2</w:t>
      </w:r>
      <w:r>
        <w:t xml:space="preserve"> на ребенка.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8" w:name="P217"/>
      <w:bookmarkEnd w:id="38"/>
      <w:r>
        <w:t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Туалетные кабины оснащаются мусорными ведрами, держателями для туалетной бумаги, сиденьями на унитазы. Умывальные раковины обеспечиваются мылом, электро- или бумажными полотенцами, ведрами для сбора мусора.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Санитарно-техническое оборудование должно гигиеническим нормативам, быть исправным и без дефектов.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39" w:name="P220"/>
      <w:bookmarkEnd w:id="39"/>
      <w:r>
        <w:t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0" w:name="P221"/>
      <w:bookmarkEnd w:id="40"/>
      <w:r>
        <w:t>2.4.12. Для приготовления дезинфекционных растворов, обработки и хранения уборочного инвентаря, моющих и дезинфекционных средств в недоступном для детей месте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Инструкции по приготовлению дезинфицирующих растворов должны размещаться в месте их приготовления.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1" w:name="P223"/>
      <w:bookmarkEnd w:id="41"/>
      <w:r>
        <w:t>2.4.13.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2" w:name="P224"/>
      <w:bookmarkEnd w:id="42"/>
      <w:r>
        <w:t>2.4.14.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комнаты для самостоятельных занятий, комнаты отдыха и досуга, игровые комнаты для детей семейных пар, проживающих в общежитии;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 &lt;8&gt;)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&lt;8&gt; </w:t>
      </w:r>
      <w:hyperlink r:id="rId50" w:history="1">
        <w:r>
          <w:rPr>
            <w:color w:val="0000FF"/>
          </w:rPr>
          <w:t>Часть 3 статьи 41</w:t>
        </w:r>
      </w:hyperlink>
      <w:r>
        <w:t xml:space="preserve"> Федерального закона от 29.12.2012 N 273-ФЗ "Об образовании в Российской Федерации" (Собрание законодательства Российской Федерации, 31.12.2012, N 53, ст. 7598; 2016, N 27, ст. 4246).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В помещениях (местах) для стирки белья допускается использование автоматических стиральных машин. Помещения (места) для стирки белья оборудуются раковиной, оснащенной 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Помещения (места) для стирки белья и гладильные оборудуются отдельно.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2.5. При отделке объектов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3" w:name="P237"/>
      <w:bookmarkEnd w:id="43"/>
      <w:r>
        <w:t>2.5.1.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2.5.2. Полы не должны иметь дефектов и повреждений и должны быть выполненными из материалов, допускающих влажную обработку и дезинфекцию.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2.5.3.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4" w:name="P240"/>
      <w:bookmarkEnd w:id="44"/>
      <w:r>
        <w:t>В помещениях с повышенной влажностью воздуха потолки должны быть влагостойкими.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2.6. При обеспечении водоснабжения и водоотведения хозяйствующими субъектами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5" w:name="P242"/>
      <w:bookmarkEnd w:id="45"/>
      <w:r>
        <w:t xml:space="preserve">2.6.1. Здания хозяйствующих субъектов оборудуются системами холодного и горячего водоснабжения, водоотведения в соответствии с требованиями к общественным зданиям и </w:t>
      </w:r>
      <w:r>
        <w:lastRenderedPageBreak/>
        <w:t>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отсутствии горячего централизованного водоснабжения в помещениях хозяйствующего субъекта устанавливаются водонагревающие устройства.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2.6.2. Вода, используемая в хозяйственно-питьевых и бытовых целях, должна соответствовать санитарно-эпидемиологическим </w:t>
      </w:r>
      <w:hyperlink r:id="rId51" w:history="1">
        <w:r>
          <w:rPr>
            <w:color w:val="0000FF"/>
          </w:rPr>
          <w:t>требованиям</w:t>
        </w:r>
      </w:hyperlink>
      <w:r>
        <w:t xml:space="preserve"> к питьевой воде.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2.6.3. Горячая и холодная вода должна подаваться через смесители.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2.6.4. Не допускается использование воды из системы отопления для технологических, а также хозяйственно-бытовых целей.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6" w:name="P248"/>
      <w:bookmarkEnd w:id="46"/>
      <w:r>
        <w:t>2.6.5.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2.6.6.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бутилированной воды хозяйствующий субъект должен быть обеспечен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2.7. Микроклимат, отопление и вентиляция в объектах должны соответствовать следующим требованиям: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7" w:name="P253"/>
      <w:bookmarkEnd w:id="47"/>
      <w:r>
        <w:t>2.7.1.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о техническом регулировании в сфере безопасности зданий и сооружений.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8" w:name="P254"/>
      <w:bookmarkEnd w:id="48"/>
      <w:r>
        <w:t>В помещениях обеспечиваются параметры микроклимата, воздухообмена, определенные требованиями гигиенических нормативов.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Не допускается использование переносных отопительных приборов с инфракрасным излучением.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49" w:name="P257"/>
      <w:bookmarkEnd w:id="49"/>
      <w:r>
        <w:t>2.7.2.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Проветривание в присутствии детей не проводится.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2.7.3. Контроль температуры воздуха во всех помещениях, предназначенных для пребывания детей и молодежи, осуществляется Организацией с помощью термометров.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0" w:name="P260"/>
      <w:bookmarkEnd w:id="50"/>
      <w:r>
        <w:t>2.7.4.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1" w:name="P261"/>
      <w:bookmarkEnd w:id="51"/>
      <w:r>
        <w:t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2.7.5. Ограждающие устройства отопительных приборов должны быть выполнены из материалов, безвредных для здоровья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Ограждения из древесно-стружечных плит к использованию не допускаются.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2.8. Естественное и искусственное освещение в объектах должны соответствовать следующим требованиям: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2" w:name="P266"/>
      <w:bookmarkEnd w:id="52"/>
      <w:r>
        <w:t>2.8.1. Уровни естественного и искусственного освещения в помещениях хозяйствующих субъектов должны соответствовать гигиеническим нормативам.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3" w:name="P267"/>
      <w:bookmarkEnd w:id="53"/>
      <w:r>
        <w:t>2.8.2.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светонесущей, высота которого должна быть не менее 2,2 м от пола.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4" w:name="P268"/>
      <w:bookmarkEnd w:id="54"/>
      <w:r>
        <w:t>Допускается эксплуатация без естественного освещения следующих помещений: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помещений для спортивных снарядов (далее - снарядные),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умывальных, душевых, туалетов при гимнастическом (или спортивном) зале,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душевых и туалетов для персонала,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кладовых и складских помещений, радиоузлов,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кино-, фотолабораторий,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кинозалов,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книгохранилищ,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бойлерных, насосных водопровода и канализации,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камер вентиляционных,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камер кондиционирования воздуха,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узлов управления и других помещений для установки и управления инженерным и технологическим оборудованием зданий,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помещений для хранения и обработки уборочного инвентаря, помещений для хранения и разведения дезинфекционных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2.8.3. Остекление окон выполняется из цельного стекла. Не допускается наличие трещин и иное нарушение целостности стекла. Чистка оконных стекол проводится по мере их загрязнения.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2.8.4.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5" w:name="P285"/>
      <w:bookmarkEnd w:id="55"/>
      <w:r>
        <w:t>2.8.5.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допускается в одном помещении использовать разные типы ламп, а также лампы с разным светооизлучением.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2.8.6. Осветительные приборы должны иметь светорассеивающую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6" w:name="P289"/>
      <w:bookmarkEnd w:id="56"/>
      <w:r>
        <w:t>2.8.7. В спальных корпусах дополнительно предусматривается дежурное (ночное) освещение в рекреациях (коридорах).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57" w:name="P290"/>
      <w:bookmarkEnd w:id="57"/>
      <w:r>
        <w:t>2.8.8.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декоративных элементов с яркой цветовой палитрой их площадь не должна превышать 25% от общей площади поверхности стен помещения.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2.8.9. Все источники искусственного освещения должны содержаться в исправном состоянии и не должны содержать следы загрязнений.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2.8.10.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2.9.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2.9.1. Медицинская помощь в хозяйствующих субъектах осуществляется в соответствии с законодательством в сфере охраны здоровья.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2.9.2.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2.9.3. Лица с признаками инфекционных заболеваний в объекты не допускаются. 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вспомогательных, &lt;9&gt; до приезда законных представителей (родителей или опекунов), до перевода в медицинскую организацию или до приезда скорой помощи.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&lt;9&gt; </w:t>
      </w:r>
      <w:hyperlink r:id="rId52" w:history="1">
        <w:r>
          <w:rPr>
            <w:color w:val="0000FF"/>
          </w:rPr>
          <w:t>Статья 29</w:t>
        </w:r>
      </w:hyperlink>
      <w: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2004, N 35, ст. 3607).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2.9.4. После перенесенного заболевания дети допускаются к посещению при наличии медицинского заключения (медицинской справки).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2.9.5. В целях предотвращения возникновения и распространения инфекционных и неинфекционных заболеваний и пищевых отравлений в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полустационарной форме (с кратковременным дневным пребыванием)):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контроль за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организация профилактических и противоэпидемических мероприятий и контроль за их проведением;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работа по организации и проведению мероприятий по дезинфекции, дезинсекции и дератизации, противоклещевых (акарицидных) обработок и контроль за их проведением;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в сфере охраны здоровья;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организация профилактических осмотров воспитанников и обучающихся и проведение профилактических прививок;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распределение детей в соответствии с заключением о принадлежности несовершеннолетнего к медицинской группе для занятий физической культурой &lt;10&gt;;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53" w:history="1">
        <w:r>
          <w:rPr>
            <w:color w:val="0000FF"/>
          </w:rPr>
          <w:t>Пункт 7</w:t>
        </w:r>
      </w:hyperlink>
      <w:r>
        <w:t xml:space="preserve">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N 3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N 1144н (зарегистрирован Минюстом России 03.12.2020, регистрационный N 61238).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работа по формированию здорового образа жизни и реализация технологий сбережения здоровья;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контроль за соблюдением правил личной гигиены;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контроль за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целях профилактики контагиозных гельминтозов (энтеробиоза и гименолепидоза)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Все выявленные инвазированные регистрируются в журнале для инфекционных заболеваний.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наличии бассейна с целью профилактики паразитарных заболеваний проводится лабораторный контроль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2.9.6. В организациях с круглосуточным пребыванием детей обеспечиваются помывочные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Возможность помывки в душе предоставляется ежедневно.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организациях с круглосуточным пребыванием дети должны быть обеспечены индивидуальными средствами гигиены (зубные щетки, расчески, мочалки).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2.9.7. Хозяйствующим субъектом должны быть созданы условия для мытья рук воспитанников, обучающихся и отдыхающих.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2.10. В отношении организации образовательного процесса и режима дня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2.10.1. Издательская продукция (книжные и электронные ее варианты), используемые хозяйствующим субъектом, должны соответствовать гигиеническим нормативам.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2.10.2. Кабинеты информатики и работа с ЭСО должны соответствовать гигиеническим нормативам.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профилактики нарушений осанки во время занятий должны проводиться соответствующие физические упражнения (далее физкультминутки).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превышать для детей 5 - 7 лет - 5 - 7 минут, для учащихся 1 - 4-х классов - 10 минут, для 5 - 9-х классов - 15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1 - 2 классов - 20 минут, 3 - 4 классов - 25 минут, 5 - 9 классов - 30 минут, 10 - 11 классов - 35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Занятия с использованием ЭСО в возрастных группах до 5 лет не проводятся.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2.10.3.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Режим двигательной активности детей в течение дня организуется с учетом возрастных особенностей и состояния здоровья.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 во время письма, рисования и использования ЭСО.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70%.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2.10.4.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 Содержание собственной территории и помещений хозяйствующего субъекта должно соответствовать следующим требованиям: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2.11.1.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допускается сжигание мусора на собственной территории, в том числе в мусоросборниках.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территории используемых хозяйствующими субъектами игровых, спортивных, прогулочных площадок, в зонах отдыха должны проводиться мероприятия, направленные на профилактику инфекционных, паразитарных и массовых неинфекционных заболеваний.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болезней проводится внеочередная замена песка.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каждом помещении должна стоять емкость для сбора мусора. Переполнение емкостей для мусора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в сфере обращения с отходами.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2.11.2. Все помещения подлежат ежедневной влажной уборке с применением моющих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Влажная уборка в спальнях проводится после ночного и дневного сна, в спортивных залах и групповых помещениях не реже 2 раз в день.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спортивный, гимнастический, хореографический, музыкальный залы проветриваются в течение не менее 10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Столы в групповых помещениях промываются горячей водой с моющим средством до и после каждого приема пищи.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Стулья, пеленальные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Игрушки моются в специально выделенных, промаркированных емкостях.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Приобретенные игрушки (за исключением мягконабивных) перед использованием детьми моются проточной водой с мылом или иным моющим средством, безвредным для здоровья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Пенолатексные, ворсованные игрушки и мягконабивные игрушки обрабатываются согласно инструкции производителя.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Игрушки, которые не подлежат влажной обработке (мытью, стирке), допускается использовать в качестве демонстрационного материала.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Туалеты, столовые, вестибюли, рекреации подлежат влажной уборке после каждой перемены.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организации обучения в несколько смен уборка проводится по окончании каждой смены.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Уборка помещений интерната при общеобразовательной организации проводится не реже 1 раза в день.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2.11.3.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Инвентарь для туалетов после использования обрабатывается дезинфекционными средствами в соответствии с инструкцией по их применению.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2.11.4.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технических целей в туалетных помещениях устанавливается отдельный водопроводный кран.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2.11.5.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гладильной или в специальном месте </w:t>
      </w:r>
      <w:r>
        <w:lastRenderedPageBreak/>
        <w:t>в закрытых стеллажах или шкафах. Выдача чистого белья организуется так, чтобы было исключено его пересечение с грязным бельем.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2.11.6. Дезинфекционные средства хранят в упаковке производителя. Дезинфекционные растворы готовят в соответствии с инструкцией перед непосредственным их применением.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2.11.7. Во всех видах помещений не реже одного раза в месяц (в смену) проводится генеральная уборка с применением моющих и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2.11.8. Вытяжные вентиляционные решетки не должны содержать следов загрязнений. Очистка шахт вытяжной вентиляции проводится по мере загрязнения.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2.11.9.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появлении синантропных насекомых и грызунов проводится дезинсекция и дератизация. Дезинсекция и дератизация проводится в отсутствие детей и молодежи.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Title"/>
        <w:jc w:val="center"/>
        <w:outlineLvl w:val="1"/>
      </w:pPr>
      <w:bookmarkStart w:id="58" w:name="P378"/>
      <w:bookmarkEnd w:id="58"/>
      <w:r>
        <w:t>III. Требования в отношении отдельных видов осуществляемой</w:t>
      </w:r>
    </w:p>
    <w:p w:rsidR="00336322" w:rsidRDefault="00336322">
      <w:pPr>
        <w:pStyle w:val="ConsPlusTitle"/>
        <w:jc w:val="center"/>
      </w:pPr>
      <w:r>
        <w:t>хозяйствующими субъектами деятельности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bookmarkStart w:id="59" w:name="P381"/>
      <w:bookmarkEnd w:id="59"/>
      <w:r>
        <w:t>3.1.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0" w:name="P382"/>
      <w:bookmarkEnd w:id="60"/>
      <w:r>
        <w:t>3.1.1.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групп раннего возраста (до 3 лет) - не менее 2,5 м</w:t>
      </w:r>
      <w:r>
        <w:rPr>
          <w:vertAlign w:val="superscript"/>
        </w:rPr>
        <w:t>2</w:t>
      </w:r>
      <w:r>
        <w:t xml:space="preserve"> на 1 ребенка и для групп дошкольного возраста (от 3 до 7 лет) - не менее 2 м</w:t>
      </w:r>
      <w:r>
        <w:rPr>
          <w:vertAlign w:val="superscript"/>
        </w:rPr>
        <w:t>2</w:t>
      </w:r>
      <w:r>
        <w:t xml:space="preserve"> на одного ребенка, без учета мебели и ее расстановки. Площадь спальной для детей до 3 лет должна составлять не менее 1,8 м</w:t>
      </w:r>
      <w:r>
        <w:rPr>
          <w:vertAlign w:val="superscript"/>
        </w:rPr>
        <w:t>2</w:t>
      </w:r>
      <w:r>
        <w:t xml:space="preserve"> на ребенка, для детей от 3 до 7 лет - не менее 2,0 м</w:t>
      </w:r>
      <w:r>
        <w:rPr>
          <w:vertAlign w:val="superscript"/>
        </w:rPr>
        <w:t>2</w:t>
      </w:r>
      <w:r>
        <w:t xml:space="preserve"> на ребенка. Физкультурный зал для детей дошкольного возраста должен быть не менее 75 м</w:t>
      </w:r>
      <w:r>
        <w:rPr>
          <w:vertAlign w:val="superscript"/>
        </w:rPr>
        <w:t>2</w:t>
      </w:r>
      <w:r>
        <w:t>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тяжелыми нарушениями речи - 6 детей в возрасте до 3 лет и 10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для детей с фонетико-фонематическими нарушениями речи - 12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глухих детей - 6 детей для обеих возрастных групп,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слабослышащих детей - 6 детей в возрасте до 3 лет и 8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слепых детей - 6 детей для обеих возрастных групп,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слабовидящих детей - 6 детей в возрасте до 3 лет и 10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амблиопией, косоглазием - 6 детей в возрасте до 3 лет и 10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нарушениями опорно-двигательного аппарата - 6 детей в возрасте до 3 лет и 8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задержкой психоречевого развития - 6 детей в возрасте до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задержкой психического развития - 10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умственной отсталостью легкой степени - 10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умственной отсталостью умеренной, тяжелой степени - 8 детей в возрасте старше 3 лет,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 расстройствами аутистического спектра - 5 детей для обеих возрастных групп,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детей в группах комбинированной направленности не должно превышать: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возрасте до 3 лет - не более 10 детей, в том числе не более 3 детей с ограниченными возможностями здоровья;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возрасте старше 3 лет, в том числе: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</w:t>
      </w:r>
      <w:r>
        <w:lastRenderedPageBreak/>
        <w:t>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1" w:name="P408"/>
      <w:bookmarkEnd w:id="61"/>
      <w:r>
        <w:t>3.1.2. Дошкольные организации должны иметь собственную территорию для прогулок детей (отдельно для каждой группы).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 м</w:t>
      </w:r>
      <w:r>
        <w:rPr>
          <w:vertAlign w:val="superscript"/>
        </w:rPr>
        <w:t>2</w:t>
      </w:r>
      <w:r>
        <w:t xml:space="preserve"> на одного ребенка, но не менее 20 м</w:t>
      </w:r>
      <w:r>
        <w:rPr>
          <w:vertAlign w:val="superscript"/>
        </w:rPr>
        <w:t>2</w:t>
      </w:r>
      <w:r>
        <w:t>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2" w:name="P411"/>
      <w:bookmarkEnd w:id="62"/>
      <w:r>
        <w:t>Допускается установка на прогулочной площадке сборно-разборных навесов, беседок.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организации прогулок детей младенческого возраста используются прогулочные коляски (в том числе многоместные).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3" w:name="P413"/>
      <w:bookmarkEnd w:id="63"/>
      <w:r>
        <w:t>3.1.3.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Групповые ячейки размещаются не выше третьего этажа, в том числе, групповые ячейки для детей с ограниченными возможностями здоровья, - не выше второго 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размещении дошкольной организации и организации, осуществляющей уход и присмотр за детьми в отдельно стоящем здании групповые ячейки для детей младенческого и раннего возраста должны иметь самостоятельный вход на игровую площадку.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4" w:name="P419"/>
      <w:bookmarkEnd w:id="64"/>
      <w:r>
        <w:t>Для групповых ячеек, располагающихся выше первого этажа, раздевальные комнаты для детей могут размещаться на первом этаже.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5" w:name="P421"/>
      <w:bookmarkEnd w:id="65"/>
      <w:r>
        <w:t>Игрушки, используемые на прогулке, хранятся отдельно от игрушек, используемых в группе, в специально отведенных местах.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6" w:name="P422"/>
      <w:bookmarkEnd w:id="66"/>
      <w:r>
        <w:t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раздевальных комнатах или в отдельных помещениях создаются условия для сушки верхней одежды и обуви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3.1.4.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игровых для детей раннего возраста устанавливают пеленальные столы и столики, манеж с покрытием из материалов, позволяющих проводить влажную обработку и дезинфекцию.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3.1.5. В игровых комнатах для детей от 1,5 лет и старше столы и стулья устанавливаются согласно общему количеству детей в группах.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3.1.6. Расстановка кроватей должна обеспечивать свободный проход детей между ними.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использовании раскладных кроватей в каждом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кроватей должно соответствовать общему количеству детей, находящихся в группе.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7" w:name="P430"/>
      <w:bookmarkEnd w:id="67"/>
      <w:r>
        <w:t>3.1.7.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8" w:name="P431"/>
      <w:bookmarkEnd w:id="68"/>
      <w:r>
        <w:t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Индивидуальные горшки маркируются по общему количеству детей.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69" w:name="P433"/>
      <w:bookmarkEnd w:id="69"/>
      <w:r>
        <w:t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допускается использование детского туалета персоналом.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0" w:name="P435"/>
      <w:bookmarkEnd w:id="70"/>
      <w:r>
        <w:t xml:space="preserve">В умывальной зоне устанавливаются вешалки для детских полотенец (отдельно для рук и </w:t>
      </w:r>
      <w:r>
        <w:lastRenderedPageBreak/>
        <w:t>ног), количество которых должно соответствовать общему количеству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круглосуточном режиме пребывания детей оборудуют ванные комнаты с душевыми кабинами (ваннами, поддонами).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3.1.8.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3.1.9. 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3.1.10. Допускается доставка готовых блюд из других организаций в соответствии с </w:t>
      </w:r>
      <w:hyperlink w:anchor="P109" w:history="1">
        <w:r>
          <w:rPr>
            <w:color w:val="0000FF"/>
          </w:rPr>
          <w:t>пунктом 1.9</w:t>
        </w:r>
      </w:hyperlink>
      <w:r>
        <w:t xml:space="preserve"> Правил. Доставка готовых блюд должна осуществляться в изотермической таре.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1" w:name="P440"/>
      <w:bookmarkEnd w:id="71"/>
      <w:r>
        <w:t>3.1.11.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 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Возможно совмещение в одном помещении туалета и умывальной комнаты.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2" w:name="P443"/>
      <w:bookmarkEnd w:id="72"/>
      <w:r>
        <w:t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3" w:name="P445"/>
      <w:bookmarkEnd w:id="73"/>
      <w:r>
        <w:t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</w:t>
      </w:r>
      <w:r>
        <w:rPr>
          <w:vertAlign w:val="superscript"/>
        </w:rPr>
        <w:t>2</w:t>
      </w:r>
      <w:r>
        <w:t xml:space="preserve"> на одно посадочное место. Количество посадочных мест должно обеспечивать одновременный прием пищи всеми детьми.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4" w:name="P447"/>
      <w:bookmarkEnd w:id="74"/>
      <w:r>
        <w:t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законодательства, если это не противоречит требованиям жилищного законодательства.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Для организации прогулок детей младенческого возраста используются прогулочные коляски (в том числе многоместные).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допускается просушивание белья, одежды и обуви в игровой комнате, спальне, кухне.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3.2.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5" w:name="P451"/>
      <w:bookmarkEnd w:id="75"/>
      <w:r>
        <w:t>3.2.1.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6" w:name="P452"/>
      <w:bookmarkEnd w:id="76"/>
      <w:r>
        <w:t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Детям должен быть обеспечен питьевой режим.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3.2.2. Помещения оборудуются вешалками для верхней одежды, полками для обуви.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3.2.3. Вновь приобретаемое оборудование, игры и игрушки для детей должны иметь документы об оценке (подтверждении) соответствия.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7" w:name="P457"/>
      <w:bookmarkEnd w:id="77"/>
      <w:r>
        <w:t>3.2.4. В помещениях предусматривается естественное и (или) искусственное освещение.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3.2.5. Заболевшие дети, а также дети с подозрением на наличие инфекционного заболевания к посещению хозяйствующего субъекта не допускаются.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3.2.6.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8" w:name="P460"/>
      <w:bookmarkEnd w:id="78"/>
      <w:r>
        <w:t>3.2.7. Туалет оборудуется унитазом, обеспечивается индивидуальными сидениями (в том числе, одноразовыми) для каждого ребенка. Для детей до 3 лет - индивидуальными горшками.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Допускается совмещение в одном туалетном помещении туалета для детей и персонала или использование детьми туалета и умывальной комнаты персонала.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3.2.8. Каждый ребенок обеспечивается индивидуальным полотенцем для рук. Допускается использование одноразовых полотенец.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3.2.9.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3.2.10. При организации образовательной деятельности пребывание и размещение детей осуществляется в соответствии с требованиями </w:t>
      </w:r>
      <w:hyperlink w:anchor="P440" w:history="1">
        <w:r>
          <w:rPr>
            <w:color w:val="0000FF"/>
          </w:rPr>
          <w:t>пункта 3.1.11</w:t>
        </w:r>
      </w:hyperlink>
      <w:r>
        <w:t xml:space="preserve"> Правил.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79" w:name="P465"/>
      <w:bookmarkEnd w:id="79"/>
      <w:r>
        <w:t>3.3. В детских игровых комнатах,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0" w:name="P466"/>
      <w:bookmarkEnd w:id="80"/>
      <w:r>
        <w:t xml:space="preserve">3.3.1.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</w:t>
      </w:r>
      <w:r>
        <w:lastRenderedPageBreak/>
        <w:t>собственной территории.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1" w:name="P467"/>
      <w:bookmarkEnd w:id="81"/>
      <w:r>
        <w:t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детей обеспечивается питьевой режим.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3.3.2. Используемое игровое оборудование должно соответствовать обязательным требованиям, установленным техническими регламентами,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2" w:name="P472"/>
      <w:bookmarkEnd w:id="82"/>
      <w:r>
        <w:t>3.3.3. В игровых комнатах предусматривается естественное и (или) искусственное освещение.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3.3.4. В игровые комнаты принимаются дети, не имеющие визуальных признаков инфекционных заболеваний.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3" w:name="P474"/>
      <w:bookmarkEnd w:id="83"/>
      <w:r>
        <w:t>3.4.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4" w:name="P475"/>
      <w:bookmarkEnd w:id="84"/>
      <w:r>
        <w:t>3.4.1.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 Приобретаемое оборудование для детских игровых площадок должно иметь документы об оценке (подтверждении) соответствия.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5" w:name="P478"/>
      <w:bookmarkEnd w:id="85"/>
      <w:r>
        <w:t>3.4.2.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6" w:name="P479"/>
      <w:bookmarkEnd w:id="86"/>
      <w:r>
        <w:t>3.4.3. Для всех обучающихся должны быть созданы условия для организации питания.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Количество мест в обеденном зале должно обеспечивать организацию питания всех обучающихся в течение не более трех перемен, во вновь строящихся и реконструируемых - не </w:t>
      </w:r>
      <w:r>
        <w:lastRenderedPageBreak/>
        <w:t>более чем в две перемены. Число одновременно питающихся детей не должно превышать количество посадочных мест в обеденном зале по проекту.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7" w:name="P481"/>
      <w:bookmarkEnd w:id="87"/>
      <w:r>
        <w:t>При обеденном зале устанавливаются умывальники из расчета один кран на 20 посадочных мест.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8" w:name="P482"/>
      <w:bookmarkEnd w:id="88"/>
      <w:r>
        <w:t>3.4.4.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89" w:name="P483"/>
      <w:bookmarkEnd w:id="89"/>
      <w:r>
        <w:t>3.4.5. В гардеробах оборудуют места для каждого класса, исходя из площади не менее 0,15 м</w:t>
      </w:r>
      <w:r>
        <w:rPr>
          <w:vertAlign w:val="superscript"/>
        </w:rPr>
        <w:t>2</w:t>
      </w:r>
      <w:r>
        <w:t xml:space="preserve"> на ребенка.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1 - 4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3.4.6. Обучающиеся 1 - 4 классов размещаются в закрепленных за каждым классом учебных кабинетах, за исключением обучения, требующего специального оборудования.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3.4.7. Для обучающихся 5 - 11 классов образовательный процесс может быть организован по кабинетной системе. При невозможности обеспечить обучающихся 5 - 11 классов учебной мебелью соответствующей их росту во всех учебных кабинетах, и лабораториях, задействованных в образовательном процессе, обучение проводится в одном учебном кабинете, оборудованном мебелью, соответствующей росту и возрасту обучающихся. Приобретаемая учебная мебель должна иметь документы об оценке (подтверждении) соответствия.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3.4.8.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 и защитные бортики по наружному краю стола. Лаборантскую и учебный кабинет химии оборудуют вытяжными шкафами.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0" w:name="P489"/>
      <w:bookmarkEnd w:id="90"/>
      <w:r>
        <w:t>3.4.9. При размещении в общеобразовательных организациях спортивного зала выше 1 этажа, проводят шумоизоляционные мероприятия, обеспечивающие нормируемые уровни шума в смежных помещениях.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 м</w:t>
      </w:r>
      <w:r>
        <w:rPr>
          <w:vertAlign w:val="superscript"/>
        </w:rPr>
        <w:t>2</w:t>
      </w:r>
      <w:r>
        <w:t>, душевых - 12,0 м</w:t>
      </w:r>
      <w:r>
        <w:rPr>
          <w:vertAlign w:val="superscript"/>
        </w:rPr>
        <w:t>2</w:t>
      </w:r>
      <w:r>
        <w:t>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3.4.10. На каждом этаже размещаются санитарные узлы раздельные для мальчиков и девочек, оборудованные кабинами с дверями и умывальниками для мытья рук. Для инвалидов маломобильных групп туалетная комната (кабина) должна быть оборудована с учетом обеспечения условий доступности.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персонала оборудуется отдельный санузел (кабина).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5 - 11 классов необходимо оборудовать комнату (кабину) личной гигиены девочек площадью не менее 3,0 м</w:t>
      </w:r>
      <w:r>
        <w:rPr>
          <w:vertAlign w:val="superscript"/>
        </w:rPr>
        <w:t>2</w:t>
      </w:r>
      <w:r>
        <w:t>, оснащенную унитазом, умывальной раковиной, душевым поддоном с гибким шлангом, биде или иным оборудованием, обеспечивающим личную гигиену.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3.4.11.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3.4.12. В учебных кабинетах обеспечивается боковое левостороннее естественное освещение за исключением случаев, указанных в </w:t>
      </w:r>
      <w:hyperlink w:anchor="P268" w:history="1">
        <w:r>
          <w:rPr>
            <w:color w:val="0000FF"/>
          </w:rPr>
          <w:t>абзаце 2 пункта 2.8.2</w:t>
        </w:r>
      </w:hyperlink>
      <w:r>
        <w:t xml:space="preserve"> Правил.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1" w:name="P496"/>
      <w:bookmarkEnd w:id="91"/>
      <w:r>
        <w:t>3.4.13.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2" w:name="P497"/>
      <w:bookmarkEnd w:id="92"/>
      <w:r>
        <w:t xml:space="preserve">3.4.14.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</w:t>
      </w:r>
      <w:hyperlink w:anchor="P382" w:history="1">
        <w:r>
          <w:rPr>
            <w:color w:val="0000FF"/>
          </w:rPr>
          <w:t>пункте 3.1.1</w:t>
        </w:r>
      </w:hyperlink>
      <w:r>
        <w:t xml:space="preserve"> Правил категории обучающихся.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3" w:name="P500"/>
      <w:bookmarkEnd w:id="93"/>
      <w:r>
        <w:t>- не менее 2,5 м</w:t>
      </w:r>
      <w:r>
        <w:rPr>
          <w:vertAlign w:val="superscript"/>
        </w:rPr>
        <w:t>2</w:t>
      </w:r>
      <w:r>
        <w:t xml:space="preserve"> на одного обучающегося при фронтальных формах занятий;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 не менее 3,5 м</w:t>
      </w:r>
      <w:r>
        <w:rPr>
          <w:vertAlign w:val="superscript"/>
        </w:rPr>
        <w:t>2</w:t>
      </w:r>
      <w:r>
        <w:t xml:space="preserve"> на одного обучающегося при организации групповых форм работы и индивидуальных занятий.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4" w:name="P502"/>
      <w:bookmarkEnd w:id="94"/>
      <w:r>
        <w:t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глухих обучающихся - 6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слабослышащих и позднооглохших обучающихся с легким недоразвитием речи, обусловленным нарушением слуха, - 10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слабослышащих и позднооглохших обучающихся с глубоким недоразвитием речи, обусловленным нарушением слуха, - 6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слепых обучающихся - 8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слабовидящих обучающихся - 12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с тяжелыми нарушениями речи - 12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с нарушениями опорно-двигательного аппарата - 10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обучающихся, имеющих задержку психического развития, - 12 человек, для учащихся с умственной отсталостью (интеллектуальными нарушениями) - 12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с расстройствами аутистического спектра - 8 человек,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для обучающихся со сложными дефектами (с тяжелыми множественными нарушениями развития) - 5 человек.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3.4.15. В общеобразовательных организациях, работающих в две смены, обучение 1, 5, 9 - 11 классов и классов для обучающихся с ограниченными возможностями здоровья проводится в первую смену.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3.4.16. При реализации образовательных программ должны соблюдаться следующие санитарно-эпидемиологические требования &lt;11&gt;: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54" w:history="1">
        <w:r>
          <w:rPr>
            <w:color w:val="0000FF"/>
          </w:rPr>
          <w:t>статья 28</w:t>
        </w:r>
      </w:hyperlink>
      <w: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2011, N 30, ст. 4596; 2012, N 24, ст. 3069; 2013, N 27, ст. 3477) и </w:t>
      </w:r>
      <w:hyperlink r:id="rId55" w:history="1">
        <w:r>
          <w:rPr>
            <w:color w:val="0000FF"/>
          </w:rPr>
          <w:t>статья 11</w:t>
        </w:r>
      </w:hyperlink>
      <w:r>
        <w:t xml:space="preserve"> Федерального закона от 29.12.2012 N 273-ФЗ "Об образовании в Российской Федерации" (Собрание законодательства РФ, 31.12.2012, N 53, ст. 7598; 2019, N 49, ст. 6962).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Часы, отведенные на внеурочную деятельность, должны быть организованы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Урочная деятельность обучающихся с ограниченными возможностями здоровья организуется по 5 дневной учебной неделе, в субботу возможны организация проведение внеурочной деятельности.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 целью профилактики переутомления в годовом календарном учебном плане обучающихся должно быть предусмотрено чередование периодов учебного времен, сессий и каникул. Продолжительность каникул должна составлять не менее 7 календарных дней.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для обучающихся 1-х классов - не должен превышать 4 уроков и один раз в неделю - 5 уроков, за счет урока физической культуры,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2 - 4 классов - не более 5 уроков и один раз в неделю 6 уроков за счет урока физической культуры,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5 - 6 классов - не более 6 уроков, для обучающихся 7 - 11 классов - не более 7 уроков.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Факультативные занятия и занятия по программам дополнительного образования,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Обучение в 1 классе осуществляется с соблюдением следующих требований: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учебные занятия проводятся по 5-дневной учебной неделе и только в первую смену,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середине учебного дня организуется динамическая пауза продолжительностью не менее 40 минут,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предупреждения переутомления в течение недели обучающиеся должны иметь облегченный учебный день в среду или в четверг.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слабовидящих обучающихся 1 - 4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 - не более 15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3.4.17. Все работы в учебных кабинетах технологии, обучающиеся выполняют в специальной одежде и (или) с использованием средств индивидуальной защиты.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Условия трудового обучения должны соответствовать возрасту обучающегося, учебным, воспитательным и коррекционным задачам.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Организация профильного обучения в 10 - 11 классах не должна приводить к увеличению образовательной нагрузки.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3.4.18.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форме единого государственного экзамена (далее - ЕГЭ) по предметам по выбору участников ЕГЭ допускается их проведение через день.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продолжительности экзамена от 4 часов и более обучающиеся обеспечиваются питанием. Независимо от продолжительности экзамена обеспечивается питьевой режим.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Время ожидания начала экзамена в классах не должно превышать 30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3.4.19.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5" w:name="P551"/>
      <w:bookmarkEnd w:id="95"/>
      <w:r>
        <w:t>3.5.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3.5.1.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3.5.2.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3.5.3. Для образовательных целей мобильные средства связи не используются.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Размещение базовых станций подвижной сотовой связи на собственной территории образовательных организаций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3.5.4. Использование ноутбуков обучающимися начальных классов возможно при наличии дополнительной клавиатуры.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3.5.5. Оконные проемы в помещениях, где используются ЭСО, должны быть оборудованы светорегулируемыми устройствами.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3.5.6. Линейные размеры (диагональ) экрана ЭСО должны соответствовать гигиеническим нормативам.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3.5.7.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</w:t>
      </w:r>
      <w:r>
        <w:lastRenderedPageBreak/>
        <w:t>размещения на столе под углом наклона 30°.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3.5.8. Шрифтовое оформление электронных учебных изданий должно соответствовать гигиеническим нормативам.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3.5.9. Непрерывная и суммарная продолжительность использования различных типов ЭСО на занятиях должна соответствовать гигиеническим нормативам.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3.5.10. При необходимости использовать наушники, время их непрерывного использования для всех возрастных групп должно составлять не более часа. Уровень громкости не должен превышать 60% от максимальной. Внутриканальные наушники должны быть предназначены только для индивидуального использования.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3.5.11. Интерактивную доску (панель) и другие ЭСО следует выключать или переводить в режим ожидания, когда их использование приостановлено или завершено.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3.5.12.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3.5.13. Режим учебного дня, в том числе во время учебных занятий, должен включать различные формы двигательной активности.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3.5.14.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3.5.15. В помещении, где организовано рабочее место обучающегося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6" w:name="P569"/>
      <w:bookmarkEnd w:id="96"/>
      <w:r>
        <w:t>3.6. В организациях дополнительного образования и физкультурно-спортивных организациях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7" w:name="P570"/>
      <w:bookmarkEnd w:id="97"/>
      <w:r>
        <w:t>3.6.1.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Раздевалки для верхней одежды размещают на первом или цокольном (подвальном) этаже хозяйствующего субъекта.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организациях с количеством до 20 человек допустимо оборудование одного туалета.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Для персонала выделяется отдельный туалет (кабина).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Мастерские, лаборатории оборудуются умывальными раковинами, кладовыми (шкафами).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В помещениях для занятий на музыкальных инструментах, танцами, вокалом, мастерских с </w:t>
      </w:r>
      <w:r>
        <w:lastRenderedPageBreak/>
        <w:t>использованием оборудования, являющегося дополнительным источником шума, выполняются шумоизолирующие мероприятия.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3.6.2.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Занятия начинаются не ранее 8.00 часов утра и заканчиваются не позднее 20.00 часов. Для обучающихся в возрасте 16 - 18 лет допускается окончание занятий в 21.00 часов.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Ежедневной дезинфекции подлежат помещения туалета, душевых, раздевальных, а также скамейки, поручни, выключатели и дверные ручки.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Раздевалки оборудуются скамьями и шкафчиками (вешалками).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8" w:name="P580"/>
      <w:bookmarkEnd w:id="98"/>
      <w:r>
        <w:t>3.6.3. Состав помещений физкультурно-спортивных организаций определяется видом спорта.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Раздевалки оборудуются скамьями и шкафчиками (вешалками), устройствами для сушки волос.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99" w:name="P583"/>
      <w:bookmarkEnd w:id="99"/>
      <w:r>
        <w:t>Спортивный инвентарь хранится в помещениях снарядных при спортивных залах.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3.7. В организациях для детей-сирот и детей, оставшихся без попечения родителей,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3.7.1.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</w:t>
      </w:r>
      <w:hyperlink w:anchor="P381" w:history="1">
        <w:r>
          <w:rPr>
            <w:color w:val="0000FF"/>
          </w:rPr>
          <w:t>пункта 3.1</w:t>
        </w:r>
      </w:hyperlink>
      <w:r>
        <w:t xml:space="preserve">. Правил, образовательных программ начального общего, основного общего и среднего общего образования - в соответствии с требованиями </w:t>
      </w:r>
      <w:hyperlink w:anchor="P465" w:history="1">
        <w:r>
          <w:rPr>
            <w:color w:val="0000FF"/>
          </w:rPr>
          <w:t>пункта 3.3</w:t>
        </w:r>
      </w:hyperlink>
      <w:r>
        <w:t>. Правил.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Численность детей в воспитательной группе в возрасте до 4 лет не должна превышать 6 человек, в возрасте от 4-х и старше - 8 человек.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наличии в воспитательной группе детей в возрасте до 4 лет и старше наполняемость группы не должна превышать 6 человек.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0" w:name="P589"/>
      <w:bookmarkEnd w:id="100"/>
      <w:r>
        <w:t>3.7.2.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 (прихожую). Санитарные узлы и душевые (ванные комнаты) размещаются в отдельных и (или) в совмещенных помещениях и оборудуют стиральными машинами.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Помещения постоянного пребывания и проживания детей оборудуются приборами по </w:t>
      </w:r>
      <w:r>
        <w:lastRenderedPageBreak/>
        <w:t>обеззараживанию воздуха.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3.7.3. Раздевальное помещение (прихожая) оборудуется шкафами для раздельного хранения одежды и обуви.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1" w:name="P594"/>
      <w:bookmarkEnd w:id="101"/>
      <w:r>
        <w:t>3.7.4. В каждой группе должны быть обеспечены условия для просушивания верхней одежды и обуви детей.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2" w:name="P595"/>
      <w:bookmarkEnd w:id="102"/>
      <w:r>
        <w:t>3.7.5.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3.8. В учреждениях социального обслуживания семьи и детей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3" w:name="P597"/>
      <w:bookmarkEnd w:id="103"/>
      <w:r>
        <w:t>3.8.1.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Жилые помещения по типу групповых ячеек должны быть для группы численностью не более 6 человек.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3.8.2.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м2 на 1 койку.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Помещение для оказания медицинской помощи размещается рядом с палатами изолятора и должно иметь отдельный вход из коридора.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Буфетная приемно-карантинного отделения оборудуется моечными ваннами и баком для дезинфекции посуды, шкафом для хранения посуды и инвентаря, столом.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3.8.3. Набор помещений учреждений временного пребывания детей определяется направленностью реализуемых мероприятий и программ.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Раздевалки размещаются на первом или цокольном этаже.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Помещения постоянного пребывания и проживания детей оборудуются приборами по обеззараживанию воздуха.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4" w:name="P609"/>
      <w:bookmarkEnd w:id="104"/>
      <w:r>
        <w:t>3.9. В профессиональных образовательных организациях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5" w:name="P610"/>
      <w:bookmarkEnd w:id="105"/>
      <w:r>
        <w:t>3.9.1.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располагаться со стороны входа в производственные помещения и иметь самостоятельный въезд.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6" w:name="P612"/>
      <w:bookmarkEnd w:id="106"/>
      <w:r>
        <w:t xml:space="preserve">3.9.2. Учебные помещения, в которых реализуется общеобразовательная программа, и их оборудование должны соответствовать </w:t>
      </w:r>
      <w:hyperlink w:anchor="P474" w:history="1">
        <w:r>
          <w:rPr>
            <w:color w:val="0000FF"/>
          </w:rPr>
          <w:t>пункту 3.4</w:t>
        </w:r>
      </w:hyperlink>
      <w:r>
        <w:t xml:space="preserve"> Правил.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7" w:name="P613"/>
      <w:bookmarkEnd w:id="107"/>
      <w:r>
        <w:t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общепрофильного и профессионального циклов, а также помещения по профилю обучения.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8" w:name="P615"/>
      <w:bookmarkEnd w:id="108"/>
      <w:r>
        <w:t>3.9.3.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09" w:name="P616"/>
      <w:bookmarkEnd w:id="109"/>
      <w:r>
        <w:t>Сверлильные, точильные и другие станки в учебных мастерских должны устанавливаться на фундаменте (кроме настольно-сверлильных и настольно-точильных) и оборудоваться предохранительными сетками, стеклами и местным освещением.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Столярные и слесарные верстаки должны соответствовать росту обучающихся и оснащаться подставками для ног.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0" w:name="P618"/>
      <w:bookmarkEnd w:id="110"/>
      <w:r>
        <w:t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1" w:name="P620"/>
      <w:bookmarkEnd w:id="111"/>
      <w:r>
        <w:t>Учебно-производственные мастерские оборудуют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отдельно стоящем здании мастерских предусматривают гардеробную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2" w:name="P622"/>
      <w:bookmarkEnd w:id="112"/>
      <w:r>
        <w:lastRenderedPageBreak/>
        <w:t>3.9.4.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 общую и местную механическую вентиляцию.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3.9.5. В профессиональной образовательной организации должно быть организовано двухразовое горячее питание для обучающихся, а для проживающих в общежитии - пятиразовое горячее питание. 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для лиц, не достигших 18 лет &lt;12&gt;.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56" w:history="1">
        <w:r>
          <w:rPr>
            <w:color w:val="0000FF"/>
          </w:rPr>
          <w:t>Перечень</w:t>
        </w:r>
      </w:hyperlink>
      <w: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 постановлением Правительства Российской Федерации от 25.02.2000 N 163 (Собрание законодательства Российской Федерации, 2000, N 10, ст. 1131; 2001, N 26, ст. 2685; 2011, N 26, ст. 3803).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Условия прохождения практики на рабочих местах для лиц, не достигших 18 лет, должны соответствовать требованиям безопасности условий труда работников, не достигших 18 лет.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3" w:name="P629"/>
      <w:bookmarkEnd w:id="113"/>
      <w:r>
        <w:t>3.10. В образовательных организациях высшего образования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4" w:name="P630"/>
      <w:bookmarkEnd w:id="114"/>
      <w:r>
        <w:t>3.10.1.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иметь самостоятельный въезд.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5" w:name="P632"/>
      <w:bookmarkEnd w:id="115"/>
      <w:r>
        <w:t xml:space="preserve">3.10.2. Учебные помещения и оборудование для учебно-производственной деятельности должны соответствовать требованиям </w:t>
      </w:r>
      <w:hyperlink w:anchor="P474" w:history="1">
        <w:r>
          <w:rPr>
            <w:color w:val="0000FF"/>
          </w:rPr>
          <w:t>пунктов 3.4</w:t>
        </w:r>
      </w:hyperlink>
      <w:r>
        <w:t xml:space="preserve">, </w:t>
      </w:r>
      <w:hyperlink w:anchor="P551" w:history="1">
        <w:r>
          <w:rPr>
            <w:color w:val="0000FF"/>
          </w:rPr>
          <w:t>3.5</w:t>
        </w:r>
      </w:hyperlink>
      <w:r>
        <w:t xml:space="preserve">, </w:t>
      </w:r>
      <w:hyperlink w:anchor="P609" w:history="1">
        <w:r>
          <w:rPr>
            <w:color w:val="0000FF"/>
          </w:rPr>
          <w:t>3.9</w:t>
        </w:r>
      </w:hyperlink>
      <w:r>
        <w:t xml:space="preserve">, </w:t>
      </w:r>
      <w:hyperlink w:anchor="P569" w:history="1">
        <w:r>
          <w:rPr>
            <w:color w:val="0000FF"/>
          </w:rPr>
          <w:t>3.6</w:t>
        </w:r>
      </w:hyperlink>
      <w:r>
        <w:t xml:space="preserve"> Правил.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6" w:name="P633"/>
      <w:bookmarkEnd w:id="116"/>
      <w:r>
        <w:t>3.11.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3.11.1. Хозяйствующие субъекты в срок не позднее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заездов детей, режиме работы и количестве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3.11.2.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В целях профилактики клещевого энцефалита, клещевого боррелиоза и геморрагической </w:t>
      </w:r>
      <w:r>
        <w:lastRenderedPageBreak/>
        <w:t>лихорадки с почечным синдромом и других инфекционных болезней перед открытием смены необходимо организовать и провести противоклещевую (акарицидную)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 &lt;13&gt;. Указанные сведения вносятся в справку не ранее чем за 3 рабочих дня до отъезда.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57" w:history="1">
        <w:r>
          <w:rPr>
            <w:color w:val="0000FF"/>
          </w:rPr>
          <w:t>Форма N 079/у</w:t>
        </w:r>
      </w:hyperlink>
      <w:r>
        <w:t xml:space="preserve"> "Медицинская справка о состоянии здоровья ребенка, отъезжающего в организацию отдыха детей и их оздоровления" утверждена приказом Минздрава России от 15.12.2014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Минюстом России 20.02.2015, регистрационный N 36160) с изменениями, внесенными приказами Минздрава России 09.01.2018 N 2н (зарегистрирован Минюстом России 04.04.2018, регистрационный N 50614) и от 02.11.2020 N 1186н (зарегистрирован Минюстом России от 27.11.2020, регистрационный N 61121).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Дети-инвалиды и дети с ограниченными возможностями здоровья принимаются в организации, в которых созданы соответствующие условия для их пребывания.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7" w:name="P645"/>
      <w:bookmarkEnd w:id="117"/>
      <w:r>
        <w:t>3.11.3. На собственной территории выделяют следующие зоны: жилая, физкультурно-оздоровительная, хозяйственная.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8" w:name="P648"/>
      <w:bookmarkEnd w:id="118"/>
      <w:r>
        <w:t>3.11.4.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помещение для 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Помещения для стирки белья могут быть оборудованы в отдельном помещении.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Допускается использование двухъярусных кроватей при условии соблюдения нормы </w:t>
      </w:r>
      <w:r>
        <w:lastRenderedPageBreak/>
        <w:t>площади на одного ребенка и количества проживающих в комнате.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зданиях для проживания детей обеспечиваются условия для просушивания верхней одежды и обуви.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19" w:name="P652"/>
      <w:bookmarkEnd w:id="119"/>
      <w:r>
        <w:t>3.11.5.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Возможно оборудование в медицинском пункте или в изоляторе душевой (ванной комнаты).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20" w:name="P655"/>
      <w:bookmarkEnd w:id="120"/>
      <w:r>
        <w:t>3.11.6.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Хозяйствующим субъектом обеспечивается освещение дорожек, ведущих к туалетам.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3.11.7.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3.11.8. С целью выявления педикулеза у детей перед началом смены и не реже одного раза в 7 дней проводятся осмотры детей. Дети с педикулезом к посещению не допускаются.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Ежедневно должна проводиться бесконтактная термометрия детей и сотрудников.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лицами посредством размещения в помещения для оказания медицинской помощи или иные помещения, кроме вспомогательных, &lt;14&gt; до приезда законных представителей (родителей или опекунов), до перевода в медицинскую организацию или до приезда скорой помощи.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&lt;14&gt; </w:t>
      </w:r>
      <w:hyperlink r:id="rId58" w:history="1">
        <w:r>
          <w:rPr>
            <w:color w:val="0000FF"/>
          </w:rPr>
          <w:t>Статья 29</w:t>
        </w:r>
      </w:hyperlink>
      <w: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2004, N 35, ст. 3607).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ind w:firstLine="540"/>
        <w:jc w:val="both"/>
      </w:pPr>
      <w:r>
        <w:t>3.11.10.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3.11.11. Допустимая температура воздуха составляет не ниже: в спальных помещениях +18 °C, в спортивных залах +17 °C, душевых +25 °C, в столовой, в помещениях культурно-массового </w:t>
      </w:r>
      <w:r>
        <w:lastRenderedPageBreak/>
        <w:t>назначения и для занятий +18 °C.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p w:rsidR="00336322" w:rsidRDefault="00336322">
      <w:pPr>
        <w:pStyle w:val="ConsPlusNormal"/>
        <w:spacing w:before="220"/>
        <w:ind w:firstLine="540"/>
        <w:jc w:val="both"/>
      </w:pPr>
      <w:bookmarkStart w:id="121" w:name="P668"/>
      <w:bookmarkEnd w:id="121"/>
      <w:r>
        <w:t>3.12. В организациях отдыха детей и их оздоровления с дневным пребыванием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3.12.1. Хозяйствующие субъекты в срок не позднее чем за один месяц до открытия каждого сезона 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заездов детей и режиме работы, а также количестве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3.12.2.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3.12.3.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3.12.4.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3.12.5. Прием детей осуществляется при наличии справки о состоянии здоровья ребенка, содержащей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 В палаточных лагерях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3.13.1. Хозяйствующие субъекты в срок не позднее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3.13.2.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аккарицидная обработка, мероприятия по борьбе с грызунами.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 палаточному лагерю должен быть обеспечен подъезд транспорта.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Смены проводятся при установившейся ночной температуре воздуха окружающей среды не </w:t>
      </w:r>
      <w:r>
        <w:lastRenderedPageBreak/>
        <w:t>ниже +15 °C. Продолжительность смены определяется ее спецификой (профилем, программой) и климатическими условиями.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Дети-инвалиды и дети с ограниченными возможностями здоровья принимаются в организации, в которых созданы условия для их пребывания.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3.13.3. Территория, на которой размещается палаточный лагерь, обозначается по периметру знаками.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r>
        <w:rPr>
          <w:vertAlign w:val="superscript"/>
        </w:rPr>
        <w:t>2</w:t>
      </w:r>
      <w:r>
        <w:t>. Для изоляции 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темное время суток обеспечивается дежурное освещение тропинок, ведущих к туалетам.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3.13.4. По периметру размещения палаток оборудуется отвод для дождевых вод, палатки устанавливаются на настил.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3.13.5.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Могут использоваться личные теплоизоляционные коврики, спальные мешки, вкладыши.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детей, проживающих в палатке, должно соответствовать вместимости, указанной в техническом паспорте палатки.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3.13.6.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3.13.8. Запас постельного белья и вкладышей в спальные мешки формируется с учетом обеспечения смены комплекта не менее 1 раза в 7 календарных дней.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3.13.9. Организованная помывка детей должна проводиться не реже 1 раза в 7 календарных дней.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3.13.10. Для просушивания одежды и обуви на территории палаточного лагеря оборудуется специальное место.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3.13.11.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очко (размером не более 0,2 м x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3.13.12.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3.13.13. Сточные воды отводятся в специальную яму, закрытую крышкой. Наполнение ямы не должно превышать ее объема.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Мыльные воды должны проходить очистку через фильтр для улавливания мыльных вод.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Ямы-поглотители, ямы надворных туалетов, надворные туалеты ежедневно обрабатываются раствором дезинфекционных средств.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3.13.14.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3.13.15. Организация питания в палаточных лагерях осуществляется в соответствии с </w:t>
      </w:r>
      <w:hyperlink w:anchor="P190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192" w:history="1">
        <w:r>
          <w:rPr>
            <w:color w:val="0000FF"/>
          </w:rPr>
          <w:t>четвертым</w:t>
        </w:r>
      </w:hyperlink>
      <w:r>
        <w:t xml:space="preserve">, </w:t>
      </w:r>
      <w:hyperlink w:anchor="P198" w:history="1">
        <w:r>
          <w:rPr>
            <w:color w:val="0000FF"/>
          </w:rPr>
          <w:t>десятым пункта 2.4.6</w:t>
        </w:r>
      </w:hyperlink>
      <w:r>
        <w:t xml:space="preserve"> Правил и санитарно-эпидемиологическими требованиями к организации общественного питания населения.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3.14. В организациях труда и отдыха (полевой практики)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3.14.1.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Дети должны работать в головных уборах.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При температурах воздуха от 25 °C до 28 °C продолжительность работы должна составлять </w:t>
      </w:r>
      <w:r>
        <w:lastRenderedPageBreak/>
        <w:t>не более 2,5 часов для лиц в возрасте от 14 до 16 лет. Для лиц от 16 до 18 лет - не более 3,5 часов.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3.14.2. Запрещается труд детей после 20:00 часов.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 xml:space="preserve">3.14.5. В зависимости от используемой формы для организации и размещения лагеря труда и отдыха к его обустройству применяются требования </w:t>
      </w:r>
      <w:hyperlink w:anchor="P629" w:history="1">
        <w:r>
          <w:rPr>
            <w:color w:val="0000FF"/>
          </w:rPr>
          <w:t>пунктов 3.10</w:t>
        </w:r>
      </w:hyperlink>
      <w:r>
        <w:t xml:space="preserve">, </w:t>
      </w:r>
      <w:hyperlink w:anchor="P633" w:history="1">
        <w:r>
          <w:rPr>
            <w:color w:val="0000FF"/>
          </w:rPr>
          <w:t>3.11</w:t>
        </w:r>
      </w:hyperlink>
      <w:r>
        <w:t xml:space="preserve">, </w:t>
      </w:r>
      <w:hyperlink w:anchor="P668" w:history="1">
        <w:r>
          <w:rPr>
            <w:color w:val="0000FF"/>
          </w:rPr>
          <w:t>3.12</w:t>
        </w:r>
      </w:hyperlink>
      <w:r>
        <w:t xml:space="preserve"> Правил 3.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3.14.6. Прием детей осуществляется при наличии справки о состоянии здоровья ребенка, направляемого в организацию отдыха детей и их оздоровления, содержащую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3.15.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организации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представителей), им должны быть обеспечены условия для проживания с соблюдением норм площади, соблюдения правил личной гигиены, питания, организован питьевой режим.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 w:rsidR="00336322" w:rsidRDefault="0033632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3363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6322" w:rsidRDefault="0033632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6322" w:rsidRDefault="0033632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6322" w:rsidRDefault="0033632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36322" w:rsidRDefault="00336322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6322" w:rsidRDefault="00336322">
            <w:pPr>
              <w:spacing w:after="1" w:line="0" w:lineRule="atLeast"/>
            </w:pPr>
          </w:p>
        </w:tc>
      </w:tr>
    </w:tbl>
    <w:p w:rsidR="00336322" w:rsidRDefault="00336322">
      <w:pPr>
        <w:pStyle w:val="ConsPlusNormal"/>
        <w:spacing w:before="280"/>
        <w:ind w:firstLine="540"/>
        <w:jc w:val="both"/>
      </w:pPr>
      <w:bookmarkStart w:id="122" w:name="P720"/>
      <w:bookmarkEnd w:id="122"/>
      <w:r>
        <w:t>3.15. При проведении массовых мероприятий с участием детей и молодежи должны соблюдаться следующие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3.16.1. Хозяйствующие субъекты, деятельность которых связана с организацией и проведением массовых мероприятий с участием детей и молодежи, в срок не позднее чем за 1 месяц до начала мероприятия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участников до планируемого места проведения мероприятия, условиях проживания, организации питьевого режима, организации питания, сроках проведения дератизационных, дезинсекционных мероприятий и о противоклещевых обработках (в случае если мероприятие проводится в теплое время года и в природных условиях).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4.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4.1. Организаторами поездок организованных групп детей железнодорожным транспортом: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организуется питание организованных групп детей с интервалами не более 4 часов;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lastRenderedPageBreak/>
        <w:t>4.2.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4.3. При нахождении в пути свыше 1 дня организуется горячее питание.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При нахождении в пути следования менее 1 дня (менее 24 часов) питание детей осуществляется в соответствии с гигиеническими нормативами.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4.4.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поездки.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4.5.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уполномоченные на осуществление федерального государственного санитарно-эпидемиологического надзора, по месту отправления с указанием следующих сведений: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наименование или фамилия, имя, отчество (при наличии) организатора отдыха групп детей;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адрес местонахождения организатора;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дата выезда, станция отправления и назначения, номер поезда и вагона, его вид;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количество детей и сопровождающих;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наличие медицинского сопровождения;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наименование и адрес конечного пункта назначения;</w:t>
      </w:r>
    </w:p>
    <w:p w:rsidR="00336322" w:rsidRDefault="00336322">
      <w:pPr>
        <w:pStyle w:val="ConsPlusNormal"/>
        <w:spacing w:before="220"/>
        <w:ind w:firstLine="540"/>
        <w:jc w:val="both"/>
      </w:pPr>
      <w:r>
        <w:t>планируемый тип питания в пути следования.</w:t>
      </w: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jc w:val="both"/>
      </w:pPr>
    </w:p>
    <w:p w:rsidR="00336322" w:rsidRDefault="003363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AF9" w:rsidRDefault="00ED0AF9"/>
    <w:sectPr w:rsidR="00ED0AF9" w:rsidSect="00207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336322"/>
    <w:rsid w:val="00336322"/>
    <w:rsid w:val="00345783"/>
    <w:rsid w:val="00D572DF"/>
    <w:rsid w:val="00ED0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63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63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363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363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363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363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363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363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B0940788BECBC2BE996FFBCD29DD0439BEA29F2BD190C91B55A981016DDB1EE84DFC946C254CE1C178F0F995E53U1X" TargetMode="External"/><Relationship Id="rId18" Type="http://schemas.openxmlformats.org/officeDocument/2006/relationships/hyperlink" Target="consultantplus://offline/ref=5B0940788BECBC2BE996FFBCD29DD04399E82DFFB4150C91B55A981016DDB1EE84DFC946C254CE1C178F0F995E53U1X" TargetMode="External"/><Relationship Id="rId26" Type="http://schemas.openxmlformats.org/officeDocument/2006/relationships/hyperlink" Target="consultantplus://offline/ref=5B0940788BECBC2BE996FFBCD29DD04399E02BFDB0170C91B55A981016DDB1EE84DFC946C254CE1C178F0F995E53U1X" TargetMode="External"/><Relationship Id="rId39" Type="http://schemas.openxmlformats.org/officeDocument/2006/relationships/hyperlink" Target="consultantplus://offline/ref=5B0940788BECBC2BE996FFBCD29DD0439BEA2CFAB6170C91B55A981016DDB1EE84DFC946C254CE1C178F0F995E53U1X" TargetMode="External"/><Relationship Id="rId21" Type="http://schemas.openxmlformats.org/officeDocument/2006/relationships/hyperlink" Target="consultantplus://offline/ref=5B0940788BECBC2BE996FFBCD29DD04399E92CF9BD170C91B55A981016DDB1EE84DFC946C254CE1C178F0F995E53U1X" TargetMode="External"/><Relationship Id="rId34" Type="http://schemas.openxmlformats.org/officeDocument/2006/relationships/hyperlink" Target="consultantplus://offline/ref=5B0940788BECBC2BE996FFBCD29DD04399E02AFCB7100C91B55A981016DDB1EE84DFC946C254CE1C178F0F995E53U1X" TargetMode="External"/><Relationship Id="rId42" Type="http://schemas.openxmlformats.org/officeDocument/2006/relationships/hyperlink" Target="consultantplus://offline/ref=5B0940788BECBC2BE996FFBCD29DD0439BEC2DF8B4100C91B55A981016DDB1EE84DFC946C254CE1C178F0F995E53U1X" TargetMode="External"/><Relationship Id="rId47" Type="http://schemas.openxmlformats.org/officeDocument/2006/relationships/hyperlink" Target="consultantplus://offline/ref=5B0940788BECBC2BE996FFBCD29DD04399EB2FF9B5180C91B55A981016DDB1EE96DF914AC35CD01D169A59C81866017D1DD774539A2CA43D5EUDX" TargetMode="External"/><Relationship Id="rId50" Type="http://schemas.openxmlformats.org/officeDocument/2006/relationships/hyperlink" Target="consultantplus://offline/ref=5B0940788BECBC2BE996FFBCD29DD0439BE12AF9B7160C91B55A981016DDB1EE96DF914AC35EDB4845D558945D3B127C16D776508652UCX" TargetMode="External"/><Relationship Id="rId55" Type="http://schemas.openxmlformats.org/officeDocument/2006/relationships/hyperlink" Target="consultantplus://offline/ref=5B0940788BECBC2BE996FFBCD29DD0439BE12AF9B7160C91B55A981016DDB1EE96DF914AC35CD115129A59C81866017D1DD774539A2CA43D5EUDX" TargetMode="External"/><Relationship Id="rId7" Type="http://schemas.openxmlformats.org/officeDocument/2006/relationships/hyperlink" Target="consultantplus://offline/ref=5B0940788BECBC2BE996FFBCD29DD04399EF2CF9BD190C91B55A981016DDB1EE84DFC946C254CE1C178F0F995E53U1X" TargetMode="External"/><Relationship Id="rId12" Type="http://schemas.openxmlformats.org/officeDocument/2006/relationships/hyperlink" Target="consultantplus://offline/ref=5B0940788BECBC2BE996FFBCD29DD0439EE026FCB61B519BBD03941211D2EEEB91CE914ACB42D01F0A930D9B55UEX" TargetMode="External"/><Relationship Id="rId17" Type="http://schemas.openxmlformats.org/officeDocument/2006/relationships/hyperlink" Target="consultantplus://offline/ref=5B0940788BECBC2BE996FFBCD29DD04399E82FF8B7140C91B55A981016DDB1EE84DFC946C254CE1C178F0F995E53U1X" TargetMode="External"/><Relationship Id="rId25" Type="http://schemas.openxmlformats.org/officeDocument/2006/relationships/hyperlink" Target="consultantplus://offline/ref=5B0940788BECBC2BE996FFBCD29DD0439AE92BF9B1110C91B55A981016DDB1EE84DFC946C254CE1C178F0F995E53U1X" TargetMode="External"/><Relationship Id="rId33" Type="http://schemas.openxmlformats.org/officeDocument/2006/relationships/hyperlink" Target="consultantplus://offline/ref=5B0940788BECBC2BE996FFBCD29DD04399E02DF3B2180C91B55A981016DDB1EE84DFC946C254CE1C178F0F995E53U1X" TargetMode="External"/><Relationship Id="rId38" Type="http://schemas.openxmlformats.org/officeDocument/2006/relationships/hyperlink" Target="consultantplus://offline/ref=5B0940788BECBC2BE996FFBCD29DD0439AE92BF9B6130C91B55A981016DDB1EE84DFC946C254CE1C178F0F995E53U1X" TargetMode="External"/><Relationship Id="rId46" Type="http://schemas.openxmlformats.org/officeDocument/2006/relationships/hyperlink" Target="consultantplus://offline/ref=5B0940788BECBC2BE996FFBCD29DD04399EB2FF9B5180C91B55A981016DDB1EE96DF914AC35CD01D169A59C81866017D1DD774539A2CA43D5EUDX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B0940788BECBC2BE996FFBCD29DD0439AE92BF9B1130C91B55A981016DDB1EE84DFC946C254CE1C178F0F995E53U1X" TargetMode="External"/><Relationship Id="rId20" Type="http://schemas.openxmlformats.org/officeDocument/2006/relationships/hyperlink" Target="consultantplus://offline/ref=5B0940788BECBC2BE996FFBCD29DD0439BEA2BFDB2130C91B55A981016DDB1EE84DFC946C254CE1C178F0F995E53U1X" TargetMode="External"/><Relationship Id="rId29" Type="http://schemas.openxmlformats.org/officeDocument/2006/relationships/hyperlink" Target="consultantplus://offline/ref=5B0940788BECBC2BE996FFBCD29DD0439AE92BF9B1100C91B55A981016DDB1EE84DFC946C254CE1C178F0F995E53U1X" TargetMode="External"/><Relationship Id="rId41" Type="http://schemas.openxmlformats.org/officeDocument/2006/relationships/hyperlink" Target="consultantplus://offline/ref=5B0940788BECBC2BE996FFBCD29DD0439BE12EF8BC100C91B55A981016DDB1EE96DF914AC35CD4181D9A59C81866017D1DD774539A2CA43D5EUDX" TargetMode="External"/><Relationship Id="rId54" Type="http://schemas.openxmlformats.org/officeDocument/2006/relationships/hyperlink" Target="consultantplus://offline/ref=5B0940788BECBC2BE996FFBCD29DD0439BE12EF8BC100C91B55A981016DDB1EE96DF9149C15BDB4845D558945D3B127C16D776508652U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B0940788BECBC2BE996FFBCD29DD0439DED29FAB31B519BBD03941211D2EEF991969D4BC35DD31B1FC55CDD093E0D740BC9774E862EA653UDX" TargetMode="External"/><Relationship Id="rId11" Type="http://schemas.openxmlformats.org/officeDocument/2006/relationships/hyperlink" Target="consultantplus://offline/ref=5B0940788BECBC2BE996FFBCD29DD0439EE026FCB41B519BBD03941211D2EEEB91CE914ACB42D01F0A930D9B55UEX" TargetMode="External"/><Relationship Id="rId24" Type="http://schemas.openxmlformats.org/officeDocument/2006/relationships/hyperlink" Target="consultantplus://offline/ref=5B0940788BECBC2BE996FFBCD29DD04399E92CFAB2100C91B55A981016DDB1EE84DFC946C254CE1C178F0F995E53U1X" TargetMode="External"/><Relationship Id="rId32" Type="http://schemas.openxmlformats.org/officeDocument/2006/relationships/hyperlink" Target="consultantplus://offline/ref=5B0940788BECBC2BE996FFBCD29DD04399EF29F8B0140C91B55A981016DDB1EE84DFC946C254CE1C178F0F995E53U1X" TargetMode="External"/><Relationship Id="rId37" Type="http://schemas.openxmlformats.org/officeDocument/2006/relationships/hyperlink" Target="consultantplus://offline/ref=5B0940788BECBC2BE996FFBCD29DD04399E02AF2B7150C91B55A981016DDB1EE84DFC946C254CE1C178F0F995E53U1X" TargetMode="External"/><Relationship Id="rId40" Type="http://schemas.openxmlformats.org/officeDocument/2006/relationships/hyperlink" Target="consultantplus://offline/ref=5B0940788BECBC2BE996FFBCD29DD0439BEA2BFCB6130C91B55A981016DDB1EE84DFC946C254CE1C178F0F995E53U1X" TargetMode="External"/><Relationship Id="rId45" Type="http://schemas.openxmlformats.org/officeDocument/2006/relationships/hyperlink" Target="consultantplus://offline/ref=5B0940788BECBC2BE996FFBCD29DD0439BE12AF9B7160C91B55A981016DDB1EE96DF914AC35EDB4845D558945D3B127C16D776508652UCX" TargetMode="External"/><Relationship Id="rId53" Type="http://schemas.openxmlformats.org/officeDocument/2006/relationships/hyperlink" Target="consultantplus://offline/ref=5B0940788BECBC2BE996FFBCD29DD0439BEF2EFAB4110C91B55A981016DDB1EE96DF914AC35CD71F139A59C81866017D1DD774539A2CA43D5EUDX" TargetMode="External"/><Relationship Id="rId58" Type="http://schemas.openxmlformats.org/officeDocument/2006/relationships/hyperlink" Target="consultantplus://offline/ref=5B0940788BECBC2BE996FFBCD29DD0439BE12EF8BC100C91B55A981016DDB1EE96DF914AC35CD1141D9A59C81866017D1DD774539A2CA43D5EUDX" TargetMode="External"/><Relationship Id="rId5" Type="http://schemas.openxmlformats.org/officeDocument/2006/relationships/hyperlink" Target="consultantplus://offline/ref=5B0940788BECBC2BE996FFBCD29DD0439BE12EF8BC100C91B55A981016DDB1EE96DF9149C054DB4845D558945D3B127C16D776508652UCX" TargetMode="External"/><Relationship Id="rId15" Type="http://schemas.openxmlformats.org/officeDocument/2006/relationships/hyperlink" Target="consultantplus://offline/ref=5B0940788BECBC2BE996FFBCD29DD04391EB2BFEB21B519BBD03941211D2EEEB91CE914ACB42D01F0A930D9B55UEX" TargetMode="External"/><Relationship Id="rId23" Type="http://schemas.openxmlformats.org/officeDocument/2006/relationships/hyperlink" Target="consultantplus://offline/ref=5B0940788BECBC2BE996FFBCD29DD04399EA2DFCB5190C91B55A981016DDB1EE84DFC946C254CE1C178F0F995E53U1X" TargetMode="External"/><Relationship Id="rId28" Type="http://schemas.openxmlformats.org/officeDocument/2006/relationships/hyperlink" Target="consultantplus://offline/ref=5B0940788BECBC2BE996FFBCD29DD04399EE2EF3B7120C91B55A981016DDB1EE84DFC946C254CE1C178F0F995E53U1X" TargetMode="External"/><Relationship Id="rId36" Type="http://schemas.openxmlformats.org/officeDocument/2006/relationships/hyperlink" Target="consultantplus://offline/ref=5B0940788BECBC2BE996FFBCD29DD04399E12EF3B5190C91B55A981016DDB1EE84DFC946C254CE1C178F0F995E53U1X" TargetMode="External"/><Relationship Id="rId49" Type="http://schemas.openxmlformats.org/officeDocument/2006/relationships/hyperlink" Target="consultantplus://offline/ref=5B0940788BECBC2BE996FFBCD29DD0439CE827F9B7150C91B55A981016DDB1EE84DFC946C254CE1C178F0F995E53U1X" TargetMode="External"/><Relationship Id="rId57" Type="http://schemas.openxmlformats.org/officeDocument/2006/relationships/hyperlink" Target="consultantplus://offline/ref=5B0940788BECBC2BE996FFBCD29DD0439BEE27FEB7160C91B55A981016DDB1EE96DF9148C657844D50C40098542D0C7F0BCB745258U6X" TargetMode="External"/><Relationship Id="rId10" Type="http://schemas.openxmlformats.org/officeDocument/2006/relationships/hyperlink" Target="consultantplus://offline/ref=5B0940788BECBC2BE996FFBCD29DD0439AE82DF9B4110C91B55A981016DDB1EE84DFC946C254CE1C178F0F995E53U1X" TargetMode="External"/><Relationship Id="rId19" Type="http://schemas.openxmlformats.org/officeDocument/2006/relationships/hyperlink" Target="consultantplus://offline/ref=5B0940788BECBC2BE996FFBCD29DD04399E82BF3B1170C91B55A981016DDB1EE84DFC946C254CE1C178F0F995E53U1X" TargetMode="External"/><Relationship Id="rId31" Type="http://schemas.openxmlformats.org/officeDocument/2006/relationships/hyperlink" Target="consultantplus://offline/ref=5B0940788BECBC2BE996FFBCD29DD04399EF2CF9B3120C91B55A981016DDB1EE84DFC946C254CE1C178F0F995E53U1X" TargetMode="External"/><Relationship Id="rId44" Type="http://schemas.openxmlformats.org/officeDocument/2006/relationships/hyperlink" Target="consultantplus://offline/ref=5B0940788BECBC2BE996FFBCD29DD0439BE12EF8BC100C91B55A981016DDB1EE96DF914AC35CD21D169A59C81866017D1DD774539A2CA43D5EUDX" TargetMode="External"/><Relationship Id="rId52" Type="http://schemas.openxmlformats.org/officeDocument/2006/relationships/hyperlink" Target="consultantplus://offline/ref=5B0940788BECBC2BE996FFBCD29DD0439BE12EF8BC100C91B55A981016DDB1EE96DF914AC35CD1141D9A59C81866017D1DD774539A2CA43D5EUDX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B0940788BECBC2BE996FFBCD29DD04399E82DFFB1170C91B55A981016DDB1EE84DFC946C254CE1C178F0F995E53U1X" TargetMode="External"/><Relationship Id="rId14" Type="http://schemas.openxmlformats.org/officeDocument/2006/relationships/hyperlink" Target="consultantplus://offline/ref=5B0940788BECBC2BE996FFBCD29DD04391EB29FDB51B519BBD03941211D2EEEB91CE914ACB42D01F0A930D9B55UEX" TargetMode="External"/><Relationship Id="rId22" Type="http://schemas.openxmlformats.org/officeDocument/2006/relationships/hyperlink" Target="consultantplus://offline/ref=5B0940788BECBC2BE996FFBCD29DD0439AE92BF9B1120C91B55A981016DDB1EE84DFC946C254CE1C178F0F995E53U1X" TargetMode="External"/><Relationship Id="rId27" Type="http://schemas.openxmlformats.org/officeDocument/2006/relationships/hyperlink" Target="consultantplus://offline/ref=5B0940788BECBC2BE996FFBCD29DD04399E02AF2BD140C91B55A981016DDB1EE84DFC946C254CE1C178F0F995E53U1X" TargetMode="External"/><Relationship Id="rId30" Type="http://schemas.openxmlformats.org/officeDocument/2006/relationships/hyperlink" Target="consultantplus://offline/ref=5B0940788BECBC2BE996FFBCD29DD04399EE26FDB6130C91B55A981016DDB1EE84DFC946C254CE1C178F0F995E53U1X" TargetMode="External"/><Relationship Id="rId35" Type="http://schemas.openxmlformats.org/officeDocument/2006/relationships/hyperlink" Target="consultantplus://offline/ref=5B0940788BECBC2BE996FFBCD29DD04399E02BFDB6180C91B55A981016DDB1EE84DFC946C254CE1C178F0F995E53U1X" TargetMode="External"/><Relationship Id="rId43" Type="http://schemas.openxmlformats.org/officeDocument/2006/relationships/hyperlink" Target="consultantplus://offline/ref=5B0940788BECBC2BE996FFBCD29DD0439BEF28FFB5110C91B55A981016DDB1EE84DFC946C254CE1C178F0F995E53U1X" TargetMode="External"/><Relationship Id="rId48" Type="http://schemas.openxmlformats.org/officeDocument/2006/relationships/hyperlink" Target="consultantplus://offline/ref=5B0940788BECBC2BE996FFBCD29DD0439CE827F9B7150C91B55A981016DDB1EE96DF914CC45AD91740C049CC5132046215CA6A52842C5AU6X" TargetMode="External"/><Relationship Id="rId56" Type="http://schemas.openxmlformats.org/officeDocument/2006/relationships/hyperlink" Target="consultantplus://offline/ref=5B0940788BECBC2BE996FFBCD29DD04399E92BFEB3160C91B55A981016DDB1EE96DF914AC35CD01C1C9A59C81866017D1DD774539A2CA43D5EUDX" TargetMode="External"/><Relationship Id="rId8" Type="http://schemas.openxmlformats.org/officeDocument/2006/relationships/hyperlink" Target="consultantplus://offline/ref=5B0940788BECBC2BE996FFBCD29DD04399E92CFEB6180C91B55A981016DDB1EE84DFC946C254CE1C178F0F995E53U1X" TargetMode="External"/><Relationship Id="rId51" Type="http://schemas.openxmlformats.org/officeDocument/2006/relationships/hyperlink" Target="consultantplus://offline/ref=5B0940788BECBC2BE996FFBCD29DD0439CE827FDB7150C91B55A981016DDB1EE96DF914AC35CD218179A59C81866017D1DD774539A2CA43D5EUDX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22617</Words>
  <Characters>128921</Characters>
  <Application>Microsoft Office Word</Application>
  <DocSecurity>0</DocSecurity>
  <Lines>1074</Lines>
  <Paragraphs>302</Paragraphs>
  <ScaleCrop>false</ScaleCrop>
  <Company/>
  <LinksUpToDate>false</LinksUpToDate>
  <CharactersWithSpaces>151236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BoldyrevaOS</dc:creator>
  <cp:lastModifiedBy>BoldyrevaOS</cp:lastModifiedBy>
  <cp:revision>1</cp:revision>
  <dcterms:created xsi:type="dcterms:W3CDTF">2022-03-17T23:20:00Z</dcterms:created>
  <dcterms:modified xsi:type="dcterms:W3CDTF">2022-03-17T23:21:00Z</dcterms:modified>
</cp:coreProperties>
</file>