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722"/>
        <w:gridCol w:w="4536"/>
      </w:tblGrid>
      <w:tr w:rsidR="00D56628">
        <w:tc>
          <w:tcPr>
            <w:tcW w:w="4786" w:type="dxa"/>
          </w:tcPr>
          <w:p w:rsidR="00D56628" w:rsidRDefault="00D56628">
            <w:pPr>
              <w:pStyle w:val="a3"/>
              <w:tabs>
                <w:tab w:val="left" w:pos="7230"/>
              </w:tabs>
              <w:rPr>
                <w:b/>
                <w:sz w:val="12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 xml:space="preserve">МИНИСТЕРСТВО </w:t>
            </w:r>
            <w:r>
              <w:rPr>
                <w:b/>
                <w:caps/>
                <w:sz w:val="24"/>
              </w:rPr>
              <w:t>ПРОСВЕЩЕНИЯ</w:t>
            </w:r>
            <w:r>
              <w:rPr>
                <w:b/>
                <w:caps/>
                <w:sz w:val="24"/>
              </w:rPr>
              <w:br/>
            </w:r>
            <w:r>
              <w:rPr>
                <w:b/>
                <w:sz w:val="24"/>
              </w:rPr>
              <w:t>РОССИЙСКОЙ ФЕДЕРАЦИИ</w:t>
            </w:r>
            <w:r>
              <w:rPr>
                <w:b/>
                <w:sz w:val="24"/>
              </w:rPr>
              <w:br/>
            </w:r>
          </w:p>
          <w:p w:rsidR="00D56628" w:rsidRDefault="00D56628">
            <w:pPr>
              <w:pStyle w:val="a3"/>
              <w:tabs>
                <w:tab w:val="left" w:pos="723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(МИНПРОСВЕЩЕНИЯ РОССИИ)</w:t>
            </w:r>
          </w:p>
        </w:tc>
        <w:tc>
          <w:tcPr>
            <w:tcW w:w="722" w:type="dxa"/>
          </w:tcPr>
          <w:p w:rsidR="00D56628" w:rsidRDefault="00D56628">
            <w:pPr>
              <w:tabs>
                <w:tab w:val="left" w:pos="7230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4536" w:type="dxa"/>
          </w:tcPr>
          <w:p w:rsidR="009F06A7" w:rsidRDefault="009F06A7" w:rsidP="009F06A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ind w:right="-3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ФЕДЕРАЛЬНАЯ СЛУЖБА </w:t>
            </w:r>
          </w:p>
          <w:p w:rsidR="009F06A7" w:rsidRDefault="009F06A7" w:rsidP="009F06A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ind w:right="-3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 НАДЗОРУ В СФЕРЕ</w:t>
            </w:r>
          </w:p>
          <w:p w:rsidR="009F06A7" w:rsidRDefault="009F06A7" w:rsidP="009F06A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ind w:right="-3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ОБРАЗОВАНИЯ И НАУКИ</w:t>
            </w:r>
          </w:p>
          <w:p w:rsidR="009F06A7" w:rsidRDefault="009F06A7" w:rsidP="009F06A7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ind w:right="-378"/>
              <w:jc w:val="center"/>
              <w:rPr>
                <w:b/>
                <w:sz w:val="12"/>
                <w:szCs w:val="12"/>
              </w:rPr>
            </w:pPr>
          </w:p>
          <w:p w:rsidR="00D56628" w:rsidRDefault="009F06A7" w:rsidP="009F06A7">
            <w:pPr>
              <w:tabs>
                <w:tab w:val="left" w:pos="7230"/>
              </w:tabs>
              <w:ind w:right="-3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(РОСОБРНАДЗОР)</w:t>
            </w:r>
          </w:p>
        </w:tc>
      </w:tr>
    </w:tbl>
    <w:p w:rsidR="00D56628" w:rsidRDefault="00D56628">
      <w:pPr>
        <w:tabs>
          <w:tab w:val="left" w:pos="7230"/>
        </w:tabs>
        <w:jc w:val="both"/>
        <w:rPr>
          <w:sz w:val="28"/>
        </w:rPr>
      </w:pPr>
    </w:p>
    <w:p w:rsidR="00D56628" w:rsidRDefault="00D56628">
      <w:pPr>
        <w:pStyle w:val="1"/>
        <w:outlineLvl w:val="0"/>
        <w:rPr>
          <w:b/>
        </w:rPr>
      </w:pPr>
      <w:r>
        <w:rPr>
          <w:b/>
        </w:rPr>
        <w:t xml:space="preserve">П Р И К А З </w:t>
      </w:r>
    </w:p>
    <w:p w:rsidR="00D56628" w:rsidRDefault="00D56628">
      <w:pPr>
        <w:spacing w:line="240" w:lineRule="atLeast"/>
        <w:jc w:val="center"/>
        <w:rPr>
          <w:rFonts w:ascii="JournalSans" w:hAnsi="JournalSans"/>
          <w:sz w:val="16"/>
        </w:rPr>
      </w:pPr>
    </w:p>
    <w:p w:rsidR="00FC26F0" w:rsidRPr="00FC26F0" w:rsidRDefault="00FC26F0" w:rsidP="00FC26F0">
      <w:pPr>
        <w:tabs>
          <w:tab w:val="left" w:pos="851"/>
          <w:tab w:val="left" w:pos="3119"/>
          <w:tab w:val="left" w:pos="7650"/>
          <w:tab w:val="left" w:pos="9645"/>
        </w:tabs>
        <w:suppressAutoHyphens/>
        <w:spacing w:line="100" w:lineRule="atLeast"/>
        <w:rPr>
          <w:lang w:eastAsia="zh-CN"/>
        </w:rPr>
      </w:pPr>
      <w:r w:rsidRPr="00FC26F0">
        <w:rPr>
          <w:sz w:val="28"/>
          <w:szCs w:val="28"/>
          <w:lang w:eastAsia="ar-SA"/>
        </w:rPr>
        <w:t xml:space="preserve"> «</w:t>
      </w:r>
      <w:r w:rsidRPr="00FC26F0">
        <w:rPr>
          <w:sz w:val="28"/>
          <w:szCs w:val="28"/>
          <w:u w:val="single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eastAsia="ar-SA"/>
        </w:rPr>
        <w:tab/>
      </w:r>
      <w:r w:rsidRPr="00FC26F0">
        <w:rPr>
          <w:sz w:val="28"/>
          <w:szCs w:val="28"/>
          <w:lang w:eastAsia="ar-SA"/>
        </w:rPr>
        <w:t xml:space="preserve">» </w:t>
      </w:r>
      <w:r w:rsidRPr="00FC26F0">
        <w:rPr>
          <w:sz w:val="28"/>
          <w:szCs w:val="28"/>
          <w:u w:val="single"/>
          <w:lang w:eastAsia="ar-SA"/>
        </w:rPr>
        <w:t>МШРГ-</w:t>
      </w:r>
      <w:r w:rsidRPr="00FC26F0">
        <w:rPr>
          <w:sz w:val="28"/>
          <w:szCs w:val="28"/>
          <w:u w:val="single"/>
          <w:lang w:val="x-none" w:eastAsia="ar-SA"/>
        </w:rPr>
        <w:t>4</w:t>
      </w:r>
      <w:r w:rsidRPr="00FC26F0">
        <w:rPr>
          <w:sz w:val="28"/>
          <w:szCs w:val="28"/>
          <w:u w:val="single"/>
          <w:lang w:eastAsia="ar-SA"/>
        </w:rPr>
        <w:tab/>
      </w:r>
      <w:r w:rsidRPr="00FC26F0">
        <w:rPr>
          <w:sz w:val="28"/>
          <w:szCs w:val="28"/>
          <w:lang w:eastAsia="ar-SA"/>
        </w:rPr>
        <w:t xml:space="preserve"> </w:t>
      </w:r>
      <w:r w:rsidRPr="00FC26F0">
        <w:rPr>
          <w:sz w:val="28"/>
          <w:szCs w:val="28"/>
          <w:lang w:val="en-US" w:eastAsia="ar-SA"/>
        </w:rPr>
        <w:t>20</w:t>
      </w:r>
      <w:r w:rsidRPr="00FC26F0">
        <w:rPr>
          <w:sz w:val="28"/>
          <w:szCs w:val="28"/>
          <w:lang w:eastAsia="ar-SA"/>
        </w:rPr>
        <w:t>20 г.</w:t>
      </w:r>
      <w:r w:rsidRPr="00FC26F0">
        <w:rPr>
          <w:sz w:val="28"/>
          <w:szCs w:val="28"/>
          <w:lang w:eastAsia="ar-SA"/>
        </w:rPr>
        <w:tab/>
        <w:t>№</w:t>
      </w:r>
      <w:r w:rsidRPr="00FC26F0">
        <w:rPr>
          <w:sz w:val="28"/>
          <w:szCs w:val="28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val="en-US" w:eastAsia="ar-SA"/>
        </w:rPr>
        <w:t xml:space="preserve"> </w:t>
      </w:r>
      <w:r w:rsidRPr="00FC26F0">
        <w:rPr>
          <w:sz w:val="28"/>
          <w:szCs w:val="28"/>
          <w:u w:val="single"/>
          <w:lang w:eastAsia="ar-SA"/>
        </w:rPr>
        <w:tab/>
      </w:r>
    </w:p>
    <w:p w:rsidR="00D56628" w:rsidRDefault="00D56628">
      <w:pPr>
        <w:tabs>
          <w:tab w:val="left" w:pos="1134"/>
        </w:tabs>
        <w:suppressAutoHyphens/>
        <w:spacing w:line="100" w:lineRule="atLeast"/>
        <w:jc w:val="center"/>
        <w:rPr>
          <w:sz w:val="16"/>
          <w:lang w:eastAsia="ar-SA"/>
        </w:rPr>
      </w:pPr>
    </w:p>
    <w:p w:rsidR="00D56628" w:rsidRDefault="00D56628">
      <w:pPr>
        <w:tabs>
          <w:tab w:val="left" w:pos="1276"/>
        </w:tabs>
        <w:suppressAutoHyphens/>
        <w:spacing w:line="100" w:lineRule="atLeast"/>
        <w:jc w:val="center"/>
        <w:rPr>
          <w:sz w:val="28"/>
          <w:lang w:eastAsia="ar-SA"/>
        </w:rPr>
      </w:pPr>
      <w:r>
        <w:rPr>
          <w:sz w:val="28"/>
          <w:lang w:eastAsia="ar-SA"/>
        </w:rPr>
        <w:t>Москва</w:t>
      </w:r>
    </w:p>
    <w:p w:rsidR="00D56628" w:rsidRDefault="00D56628"/>
    <w:p w:rsidR="00D56628" w:rsidRDefault="00D56628"/>
    <w:p w:rsidR="00A810BB" w:rsidRDefault="00A810BB" w:rsidP="00A810BB">
      <w:pPr>
        <w:tabs>
          <w:tab w:val="left" w:pos="-1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единого расписания </w:t>
      </w:r>
      <w:r>
        <w:rPr>
          <w:b/>
          <w:sz w:val="28"/>
          <w:szCs w:val="28"/>
        </w:rPr>
        <w:br/>
        <w:t xml:space="preserve">и продолжительности проведения основного государственного экзамена </w:t>
      </w:r>
      <w:r>
        <w:rPr>
          <w:b/>
          <w:sz w:val="28"/>
          <w:szCs w:val="28"/>
        </w:rPr>
        <w:br/>
        <w:t>по каждому учебному предмету, требований к использованию средств обучения и воспитания при его проведении в 2021 году</w:t>
      </w:r>
    </w:p>
    <w:p w:rsidR="00A810BB" w:rsidRDefault="00A810BB" w:rsidP="00A810BB">
      <w:pPr>
        <w:jc w:val="center"/>
        <w:rPr>
          <w:sz w:val="24"/>
        </w:rPr>
      </w:pPr>
    </w:p>
    <w:p w:rsidR="00A810BB" w:rsidRPr="0096039C" w:rsidRDefault="00A810BB" w:rsidP="00A810BB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</w:rPr>
        <w:t xml:space="preserve">В соответствии </w:t>
      </w:r>
      <w:r w:rsidRPr="0096039C">
        <w:rPr>
          <w:sz w:val="28"/>
        </w:rPr>
        <w:t xml:space="preserve">с </w:t>
      </w:r>
      <w:hyperlink r:id="rId4" w:history="1">
        <w:r w:rsidRPr="0096039C">
          <w:rPr>
            <w:rStyle w:val="a4"/>
            <w:color w:val="auto"/>
            <w:sz w:val="28"/>
            <w:u w:val="none"/>
          </w:rPr>
          <w:t>частью 5 статьи 59</w:t>
        </w:r>
      </w:hyperlink>
      <w:r w:rsidRPr="0096039C">
        <w:rPr>
          <w:sz w:val="28"/>
        </w:rPr>
        <w:t xml:space="preserve"> Федерального закона </w:t>
      </w:r>
      <w:r w:rsidRPr="0096039C">
        <w:rPr>
          <w:sz w:val="28"/>
        </w:rPr>
        <w:br/>
        <w:t xml:space="preserve">от 29 декабря 2012 г. № 273-ФЗ «Об образовании в Российской Федерации» (Собрание законодательства Российской Федерации, 2012, № 53, ст. 7598; </w:t>
      </w:r>
      <w:r w:rsidRPr="0096039C">
        <w:rPr>
          <w:sz w:val="28"/>
        </w:rPr>
        <w:br/>
        <w:t xml:space="preserve">2019, № 30, ст. 4134), </w:t>
      </w:r>
      <w:r w:rsidR="00B339A7" w:rsidRPr="0096039C">
        <w:rPr>
          <w:sz w:val="28"/>
        </w:rPr>
        <w:t xml:space="preserve">пунктом 1 и </w:t>
      </w:r>
      <w:hyperlink r:id="rId5" w:history="1">
        <w:r w:rsidRPr="0096039C">
          <w:rPr>
            <w:rStyle w:val="a4"/>
            <w:color w:val="auto"/>
            <w:sz w:val="28"/>
            <w:u w:val="none"/>
          </w:rPr>
          <w:t>подпунктом 4.2.25</w:t>
        </w:r>
      </w:hyperlink>
      <w:r w:rsidRPr="0096039C">
        <w:rPr>
          <w:sz w:val="28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№ 884 (Собрание законодательства Российской Федерации, 2018, № 32, ст. 5343; 2019, № 51, ст. 7631), </w:t>
      </w:r>
      <w:r w:rsidR="00B339A7" w:rsidRPr="0096039C">
        <w:rPr>
          <w:sz w:val="28"/>
        </w:rPr>
        <w:t xml:space="preserve">пунктом 1 и </w:t>
      </w:r>
      <w:hyperlink r:id="rId6" w:history="1">
        <w:r w:rsidRPr="0096039C">
          <w:rPr>
            <w:rStyle w:val="a4"/>
            <w:color w:val="auto"/>
            <w:sz w:val="28"/>
            <w:u w:val="none"/>
          </w:rPr>
          <w:t>подпунктом 5.2.7</w:t>
        </w:r>
      </w:hyperlink>
      <w:r w:rsidRPr="0096039C">
        <w:rPr>
          <w:sz w:val="28"/>
        </w:rPr>
        <w:t xml:space="preserve"> Положения о Федеральной службе по надзору в сфере образования и науки, утвержденного постановлением Правительства Российской Федерации от 28 июля 2018 г. № 885 (Собрание законодательства Российской Федерации, 2018, № 32, ст. 5344; 2019, № 51, ст. 7643), приказываем:</w:t>
      </w:r>
    </w:p>
    <w:p w:rsidR="00A810BB" w:rsidRPr="0096039C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96039C">
        <w:rPr>
          <w:sz w:val="28"/>
        </w:rPr>
        <w:t>1. Утвердить следующее расписание проведения основного государственного экзамена (далее – ОГЭ) в 2021 году:</w:t>
      </w:r>
    </w:p>
    <w:p w:rsidR="00A810BB" w:rsidRPr="0096039C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96039C">
        <w:rPr>
          <w:sz w:val="28"/>
        </w:rPr>
        <w:t xml:space="preserve">1.1. Для лиц, указанных в </w:t>
      </w:r>
      <w:hyperlink r:id="rId7" w:history="1">
        <w:r w:rsidRPr="0096039C">
          <w:rPr>
            <w:rStyle w:val="a4"/>
            <w:color w:val="auto"/>
            <w:sz w:val="28"/>
            <w:u w:val="none"/>
          </w:rPr>
          <w:t>пунктах 5</w:t>
        </w:r>
      </w:hyperlink>
      <w:r w:rsidRPr="0096039C">
        <w:rPr>
          <w:sz w:val="28"/>
        </w:rPr>
        <w:t xml:space="preserve"> и 11 Порядка проведения государственной итоговой аттестации по образовательным программам основного общего образования, утвержденного приказом Министерства просвещения Российской Федерации и Федеральной службы по надзору в сфере образования </w:t>
      </w:r>
      <w:r w:rsidRPr="0096039C">
        <w:rPr>
          <w:sz w:val="28"/>
        </w:rPr>
        <w:br/>
        <w:t xml:space="preserve">и науки от 7 ноября 2018 г. № 189/1513 (зарегистрирован Министерством юстиции Российской Федерации 10 декабря 2018 г., регистрационный № 52953) </w:t>
      </w:r>
      <w:r w:rsidRPr="0096039C">
        <w:rPr>
          <w:sz w:val="28"/>
        </w:rPr>
        <w:br/>
        <w:t>(далее – Порядок проведения ГИА):</w:t>
      </w:r>
    </w:p>
    <w:p w:rsidR="00A810BB" w:rsidRPr="0096039C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96039C">
        <w:rPr>
          <w:sz w:val="28"/>
        </w:rPr>
        <w:lastRenderedPageBreak/>
        <w:t>21 мая (пятница) – иностранные языки (английский, французский, немецкий, испанский);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 w:rsidRPr="0096039C">
        <w:rPr>
          <w:sz w:val="28"/>
        </w:rPr>
        <w:t>22 мая (суббота) – иностранные языки</w:t>
      </w:r>
      <w:r>
        <w:rPr>
          <w:sz w:val="28"/>
        </w:rPr>
        <w:t xml:space="preserve"> (английский, французский, немецкий, испанский);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25 мая (вторник) – история, физика, биология, химия;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28 мая (пятница) – обществознание;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июня (вторник) – биология, информатика и информационно-коммуникационные технологии (ИКТ), география, химия;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4 июня (пятница) – русский язык;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8 июня (вторник) – математика;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11 июня (пятница) – литература, физика, информатика и информационно-коммуникационные технологии (ИКТ), география;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1.2. Для лиц, указанных в пункте 38 Порядка проведения ГИА: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20 апреля (вторник) – математика;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апреля (пятница) – русский язык;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26 апреля (понедельник) – информатика и информационно-коммуникационные технологии (ИКТ), обществознание, химия, литература;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апреля (четверг) – история, биология, физика, география, иностранные языки (английский, французский, немецкий, испанский);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1.3. Для лиц, указанных в пунктах 37 и 42 Порядка проведения ГИА: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4 мая (вторник) – математика;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5 мая (среда) – история, биология, физика, география, иностранные языки (английский, французский, немецкий, испанский);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6 мая (четверг) – информатика и информационно-коммуникационные технологии (ИКТ), обществознание, химия, литература;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11 мая (вторник) – русский язык;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14 мая (пятница) – по всем учебным предметам;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22 июня (вторник)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23 июня (среда) – русский язык;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24 июня (четверг)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28 июня (понедельник) – математика;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29 июня (вторник) – по всем учебным предметам;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 июля (четверг) – по всем учебным предметам;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16 сентября (четверг) – русский язык;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17 сентября (пятница)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20 сентября (понедельник) – математика;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21 сентября (вторник) – по всем учебным предметам (кроме русского языка </w:t>
      </w:r>
      <w:r>
        <w:rPr>
          <w:sz w:val="28"/>
        </w:rPr>
        <w:br/>
        <w:t>и математики);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22 сентября (среда) – по всем учебным предметам;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1.4. Для лиц, указанных в пункте 76 Порядка проведения ГИА: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3 сентября (пятница) – русский язык;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6 сентября (понедельник) – математика;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9 сентября (четверг) – история, биология, физика, география;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13 сентября (понедельник) – обществознание, химия, информатика </w:t>
      </w:r>
      <w:r>
        <w:rPr>
          <w:sz w:val="28"/>
        </w:rPr>
        <w:br/>
        <w:t>и информационно-коммуникационные технологии (ИКТ), литература, иностранные языки (английский, французский, немецкий, испанский).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 Установить, что: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2.1. ОГЭ по всем учебным предметам начинается в 10.00 по местному времени;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2.2. Продолжительность ОГЭ по математике, русскому языку, литературе составляет 3 часа 55 минут (235 минут); по физике, обществознанию, истории, биологии, химии – 3 часа (180 минут); по информатике и информационно-коммуникационным технологиям (ИКТ), географии – 2 часа 30 минут (150 минут); иностранным языкам (английский, французский, немецкий, испанский) </w:t>
      </w:r>
      <w:r>
        <w:rPr>
          <w:sz w:val="28"/>
        </w:rPr>
        <w:br/>
        <w:t>(кроме раздела «Говорение») – 2 часа (120 минут); по иностранным языкам (английский, французский, немецкий, испанский) (раздел «Говорение») – 15 минут;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2.3. Участники экзаменов используют средства обучения и воспитания </w:t>
      </w:r>
      <w:r>
        <w:rPr>
          <w:sz w:val="28"/>
        </w:rPr>
        <w:br/>
        <w:t xml:space="preserve">для выполнения заданий контрольных измерительных материалов </w:t>
      </w:r>
      <w:r>
        <w:rPr>
          <w:sz w:val="28"/>
        </w:rPr>
        <w:br/>
        <w:t>ОГЭ (далее – КИМ ОГЭ) в аудиториях пункта проведения экзаменов.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Допускается использование участниками экзаменов следующих средств обучения и воспитания по соответствующим учебным предметам: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русскому языку – орфографические словари, позволяющие устанавливать нормативное написание слов;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математике – линейка, не содержащая справочной информации </w:t>
      </w:r>
      <w:r>
        <w:rPr>
          <w:sz w:val="28"/>
        </w:rPr>
        <w:br/>
        <w:t>(далее – линейка), для построения чертежей и рисунков; справочные материалы, содержащие основные формулы курса математики образовательной программы основного общего образования;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физике – линейка для построения графиков, оптических и электрических схем; непрограммируемый калькулятор, обеспечивающий выполнение арифметических вычислений (сложение, вычитание, умножение, деление, извлечение корня) и вычисление тригонометрических функций (</w:t>
      </w:r>
      <w:proofErr w:type="spellStart"/>
      <w:r>
        <w:rPr>
          <w:sz w:val="28"/>
        </w:rPr>
        <w:t>sin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cos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ctg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arcsin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arccos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arctg</w:t>
      </w:r>
      <w:proofErr w:type="spellEnd"/>
      <w:r>
        <w:rPr>
          <w:sz w:val="28"/>
        </w:rPr>
        <w:t xml:space="preserve">), а также не осуществляющий функций средства связи, хранилища базы данных и не имеющий доступ к сетям передачи данных </w:t>
      </w:r>
      <w:r>
        <w:rPr>
          <w:sz w:val="28"/>
        </w:rPr>
        <w:br/>
        <w:t xml:space="preserve">(в том числе к информационно-телекоммуникационной сети «Интернет») </w:t>
      </w:r>
      <w:r>
        <w:rPr>
          <w:sz w:val="28"/>
        </w:rPr>
        <w:br/>
        <w:t xml:space="preserve">(далее – непрограммируемый калькулятор); лабораторное оборудование </w:t>
      </w:r>
      <w:r w:rsidR="0096039C">
        <w:rPr>
          <w:sz w:val="28"/>
        </w:rPr>
        <w:br/>
      </w:r>
      <w:r>
        <w:rPr>
          <w:sz w:val="28"/>
        </w:rPr>
        <w:t>для выполнения экспериментальн</w:t>
      </w:r>
      <w:r w:rsidR="0096039C">
        <w:rPr>
          <w:sz w:val="28"/>
        </w:rPr>
        <w:t>ых</w:t>
      </w:r>
      <w:r>
        <w:rPr>
          <w:sz w:val="28"/>
        </w:rPr>
        <w:t xml:space="preserve"> задани</w:t>
      </w:r>
      <w:r w:rsidR="0096039C">
        <w:rPr>
          <w:sz w:val="28"/>
        </w:rPr>
        <w:t>й</w:t>
      </w:r>
      <w:r>
        <w:rPr>
          <w:sz w:val="28"/>
        </w:rPr>
        <w:t xml:space="preserve"> </w:t>
      </w:r>
      <w:r w:rsidR="0096039C" w:rsidRPr="0096039C">
        <w:rPr>
          <w:sz w:val="28"/>
        </w:rPr>
        <w:t xml:space="preserve">КИМ ОГЭ </w:t>
      </w:r>
      <w:r>
        <w:rPr>
          <w:sz w:val="28"/>
        </w:rPr>
        <w:t>по проведению измерения физических величин;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химии – непрограммируемый калькулятор; лабораторное оборудование </w:t>
      </w:r>
      <w:r>
        <w:rPr>
          <w:sz w:val="28"/>
        </w:rPr>
        <w:br/>
        <w:t>для проведения химических опытов, предусмотренных заданиями</w:t>
      </w:r>
      <w:r w:rsidR="0096039C" w:rsidRPr="0096039C">
        <w:rPr>
          <w:sz w:val="28"/>
        </w:rPr>
        <w:t xml:space="preserve"> </w:t>
      </w:r>
      <w:r w:rsidR="0096039C">
        <w:rPr>
          <w:sz w:val="28"/>
        </w:rPr>
        <w:t>КИМ ОГЭ</w:t>
      </w:r>
      <w:r>
        <w:rPr>
          <w:sz w:val="28"/>
        </w:rPr>
        <w:t>; периодическая система химических элементов Д.И. Менделеева, таблица растворимости солей, кислот и оснований в воде, электрохимический ряд напряжений металлов;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биологии – линейка для проведения измерений при выполнении заданий </w:t>
      </w:r>
      <w:r>
        <w:rPr>
          <w:sz w:val="28"/>
        </w:rPr>
        <w:br/>
      </w:r>
      <w:r w:rsidR="0096039C" w:rsidRPr="0096039C">
        <w:rPr>
          <w:sz w:val="28"/>
        </w:rPr>
        <w:t xml:space="preserve">КИМ ОГЭ </w:t>
      </w:r>
      <w:r>
        <w:rPr>
          <w:sz w:val="28"/>
        </w:rPr>
        <w:t>с рисунками; непрограммируемый калькулятор;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lastRenderedPageBreak/>
        <w:t>по литературе – орфографические словари, позволяющие устанавливать нормативное написание слов и определять значения лексической единицы; полные тексты художественных произведений, а также сборники лирики;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по географии – линейка для измерения расстояний по топографической карте; непрограммируемый калькулятор; географические атласы для 7-9 классов для решения практических заданий</w:t>
      </w:r>
      <w:r w:rsidR="0096039C" w:rsidRPr="0096039C">
        <w:rPr>
          <w:sz w:val="28"/>
        </w:rPr>
        <w:t xml:space="preserve"> </w:t>
      </w:r>
      <w:r w:rsidR="0096039C">
        <w:rPr>
          <w:sz w:val="28"/>
        </w:rPr>
        <w:t>КИМ ОГЭ</w:t>
      </w:r>
      <w:r>
        <w:rPr>
          <w:sz w:val="28"/>
        </w:rPr>
        <w:t>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иностранным языкам – технические средства, обеспечивающие воспроизведение аудиозаписей, содержащихся на электронных носителях, </w:t>
      </w:r>
      <w:r>
        <w:rPr>
          <w:sz w:val="28"/>
        </w:rPr>
        <w:br/>
        <w:t>для выполнения заданий раздела «</w:t>
      </w:r>
      <w:proofErr w:type="spellStart"/>
      <w:r>
        <w:rPr>
          <w:sz w:val="28"/>
        </w:rPr>
        <w:t>Аудирование</w:t>
      </w:r>
      <w:proofErr w:type="spellEnd"/>
      <w:r>
        <w:rPr>
          <w:sz w:val="28"/>
        </w:rPr>
        <w:t xml:space="preserve">» КИМ ОГЭ; компьютерная техника, не имеющая доступ к информационно-телекоммуникационной сети «Интернет»; </w:t>
      </w:r>
      <w:proofErr w:type="spellStart"/>
      <w:r>
        <w:rPr>
          <w:sz w:val="28"/>
        </w:rPr>
        <w:t>аудиогарнитура</w:t>
      </w:r>
      <w:proofErr w:type="spellEnd"/>
      <w:r>
        <w:rPr>
          <w:sz w:val="28"/>
        </w:rPr>
        <w:t xml:space="preserve"> для выполнения заданий раздела «Говорение» КИМ ОГЭ;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по информатике и информационно-коммуникационным технологиям </w:t>
      </w:r>
      <w:r>
        <w:rPr>
          <w:sz w:val="28"/>
        </w:rPr>
        <w:br/>
        <w:t>(ИКТ) – компьютерная техника, не имеющая доступ к информационно-телекоммуникационной сети «Интернет».</w:t>
      </w:r>
    </w:p>
    <w:p w:rsidR="00A810BB" w:rsidRDefault="00A810BB" w:rsidP="00A810BB">
      <w:pPr>
        <w:autoSpaceDE w:val="0"/>
        <w:autoSpaceDN w:val="0"/>
        <w:adjustRightInd w:val="0"/>
        <w:spacing w:before="220" w:line="360" w:lineRule="auto"/>
        <w:ind w:firstLine="709"/>
        <w:contextualSpacing/>
        <w:jc w:val="both"/>
        <w:rPr>
          <w:sz w:val="28"/>
        </w:rPr>
      </w:pPr>
      <w:r>
        <w:rPr>
          <w:sz w:val="28"/>
        </w:rPr>
        <w:t>В день проведения ОГЭ на средствах обучения и воспитания не допускается делать пометки, относящиеся к содержанию заданий КИМ ОГЭ по учебным предметам.</w:t>
      </w:r>
    </w:p>
    <w:p w:rsidR="00A810BB" w:rsidRDefault="00A810BB" w:rsidP="00A810BB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p w:rsidR="00A810BB" w:rsidRDefault="00A810BB" w:rsidP="00A810BB">
      <w:pPr>
        <w:widowControl w:val="0"/>
        <w:autoSpaceDE w:val="0"/>
        <w:autoSpaceDN w:val="0"/>
        <w:adjustRightInd w:val="0"/>
        <w:spacing w:line="360" w:lineRule="auto"/>
        <w:rPr>
          <w:bCs/>
          <w:sz w:val="28"/>
          <w:szCs w:val="28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4789"/>
        <w:gridCol w:w="1277"/>
        <w:gridCol w:w="4254"/>
      </w:tblGrid>
      <w:tr w:rsidR="00A810BB" w:rsidTr="00A810BB">
        <w:tc>
          <w:tcPr>
            <w:tcW w:w="4789" w:type="dxa"/>
            <w:hideMark/>
          </w:tcPr>
          <w:p w:rsidR="00A810BB" w:rsidRDefault="00A810BB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 xml:space="preserve">Министр просвещения </w:t>
            </w:r>
          </w:p>
          <w:p w:rsidR="00A810BB" w:rsidRDefault="00A810BB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w="1277" w:type="dxa"/>
          </w:tcPr>
          <w:p w:rsidR="00A810BB" w:rsidRDefault="00A810BB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4254" w:type="dxa"/>
            <w:hideMark/>
          </w:tcPr>
          <w:p w:rsidR="00A810BB" w:rsidRDefault="00A810BB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4"/>
              </w:rPr>
            </w:pPr>
            <w:r>
              <w:rPr>
                <w:rFonts w:eastAsia="Calibri"/>
                <w:sz w:val="28"/>
                <w:szCs w:val="24"/>
              </w:rPr>
              <w:t xml:space="preserve">Руководитель </w:t>
            </w:r>
            <w:r>
              <w:rPr>
                <w:rFonts w:eastAsia="Calibri"/>
                <w:spacing w:val="-2"/>
                <w:sz w:val="28"/>
                <w:szCs w:val="24"/>
              </w:rPr>
              <w:t>Федеральной службы по надзору</w:t>
            </w:r>
            <w:r>
              <w:rPr>
                <w:rFonts w:eastAsia="Calibri"/>
                <w:sz w:val="28"/>
                <w:szCs w:val="24"/>
              </w:rPr>
              <w:br/>
              <w:t>в сфере образования и науки</w:t>
            </w:r>
          </w:p>
        </w:tc>
      </w:tr>
      <w:tr w:rsidR="00A810BB" w:rsidTr="00A810BB">
        <w:tc>
          <w:tcPr>
            <w:tcW w:w="4789" w:type="dxa"/>
          </w:tcPr>
          <w:p w:rsidR="00A810BB" w:rsidRDefault="00A810BB">
            <w:pPr>
              <w:tabs>
                <w:tab w:val="left" w:pos="7230"/>
              </w:tabs>
              <w:rPr>
                <w:sz w:val="28"/>
              </w:rPr>
            </w:pPr>
            <w:r>
              <w:rPr>
                <w:sz w:val="16"/>
              </w:rPr>
              <w:t>МШЭП-2</w:t>
            </w:r>
          </w:p>
          <w:p w:rsidR="00A810BB" w:rsidRDefault="00A810BB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  <w:p w:rsidR="00A810BB" w:rsidRDefault="00A810BB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</w:p>
          <w:p w:rsidR="00A810BB" w:rsidRDefault="00A810BB">
            <w:pPr>
              <w:tabs>
                <w:tab w:val="left" w:pos="1701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              С.С. Кравцов</w:t>
            </w:r>
          </w:p>
        </w:tc>
        <w:tc>
          <w:tcPr>
            <w:tcW w:w="1277" w:type="dxa"/>
          </w:tcPr>
          <w:p w:rsidR="00A810BB" w:rsidRDefault="00A810BB">
            <w:pPr>
              <w:widowControl w:val="0"/>
              <w:tabs>
                <w:tab w:val="left" w:pos="7230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4254" w:type="dxa"/>
          </w:tcPr>
          <w:p w:rsidR="00A810BB" w:rsidRDefault="00A810BB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</w:p>
          <w:p w:rsidR="00A810BB" w:rsidRDefault="00A810BB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</w:p>
          <w:p w:rsidR="00A810BB" w:rsidRDefault="00A810BB">
            <w:pPr>
              <w:tabs>
                <w:tab w:val="left" w:pos="2019"/>
                <w:tab w:val="left" w:pos="7230"/>
              </w:tabs>
              <w:rPr>
                <w:sz w:val="28"/>
              </w:rPr>
            </w:pPr>
            <w:r>
              <w:rPr>
                <w:sz w:val="28"/>
              </w:rPr>
              <w:tab/>
              <w:t xml:space="preserve">     А.А. Музаев</w:t>
            </w:r>
          </w:p>
        </w:tc>
      </w:tr>
    </w:tbl>
    <w:p w:rsidR="00D56628" w:rsidRPr="007D4DAB" w:rsidRDefault="00D56628">
      <w:pPr>
        <w:jc w:val="both"/>
        <w:rPr>
          <w:sz w:val="28"/>
          <w:szCs w:val="28"/>
        </w:rPr>
      </w:pPr>
    </w:p>
    <w:p w:rsidR="00D56628" w:rsidRPr="007D4DAB" w:rsidRDefault="00D56628">
      <w:pPr>
        <w:rPr>
          <w:sz w:val="28"/>
          <w:szCs w:val="28"/>
        </w:rPr>
      </w:pPr>
    </w:p>
    <w:sectPr w:rsidR="00D56628" w:rsidRPr="007D4DAB">
      <w:pgSz w:w="11906" w:h="16838" w:code="9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JournalSans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003"/>
    <w:rsid w:val="001F4A73"/>
    <w:rsid w:val="003C4003"/>
    <w:rsid w:val="004E4A99"/>
    <w:rsid w:val="007202C4"/>
    <w:rsid w:val="007D4DAB"/>
    <w:rsid w:val="0096039C"/>
    <w:rsid w:val="009B5E79"/>
    <w:rsid w:val="009F06A7"/>
    <w:rsid w:val="00A616B2"/>
    <w:rsid w:val="00A810BB"/>
    <w:rsid w:val="00AF1D52"/>
    <w:rsid w:val="00B339A7"/>
    <w:rsid w:val="00B80024"/>
    <w:rsid w:val="00CE63EE"/>
    <w:rsid w:val="00D56628"/>
    <w:rsid w:val="00FC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1B7C68B-EDFA-4AD1-BC7A-7A8DF6B9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pPr>
      <w:jc w:val="center"/>
    </w:pPr>
    <w:rPr>
      <w:sz w:val="28"/>
    </w:rPr>
  </w:style>
  <w:style w:type="paragraph" w:customStyle="1" w:styleId="1">
    <w:name w:val="заголовок 1"/>
    <w:basedOn w:val="a"/>
    <w:next w:val="a"/>
    <w:pPr>
      <w:keepNext/>
      <w:spacing w:line="240" w:lineRule="atLeast"/>
      <w:jc w:val="center"/>
    </w:pPr>
    <w:rPr>
      <w:spacing w:val="20"/>
      <w:sz w:val="36"/>
    </w:rPr>
  </w:style>
  <w:style w:type="paragraph" w:customStyle="1" w:styleId="Oiiaee">
    <w:name w:val="Oiia?ee"/>
    <w:basedOn w:val="a"/>
    <w:rPr>
      <w:sz w:val="28"/>
    </w:rPr>
  </w:style>
  <w:style w:type="character" w:styleId="a4">
    <w:name w:val="Hyperlink"/>
    <w:uiPriority w:val="99"/>
    <w:semiHidden/>
    <w:unhideWhenUsed/>
    <w:rsid w:val="00A810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1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034CF97E9073F0A017303583EA54B147964980410959FEE7338E8D4E276BE4074FAFAE9170C577B3793C0E60752670DB298BC7E9E9C486Bh0w0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34CF97E9073F0A017303583EA54B1479609A0E159E9FEE7338E8D4E276BE4074FAFAE9170C577A3693C0E60752670DB298BC7E9E9C486Bh0w0H" TargetMode="External"/><Relationship Id="rId5" Type="http://schemas.openxmlformats.org/officeDocument/2006/relationships/hyperlink" Target="consultantplus://offline/ref=4034CF97E9073F0A017303583EA54B1479619C0215929FEE7338E8D4E276BE4074FAFAE9170C577C3793C0E60752670DB298BC7E9E9C486Bh0w0H" TargetMode="External"/><Relationship Id="rId4" Type="http://schemas.openxmlformats.org/officeDocument/2006/relationships/hyperlink" Target="consultantplus://offline/ref=4034CF97E9073F0A017303583EA54B1479609A0418909FEE7338E8D4E276BE4074FAFAEA13095C2C60DCC1BA4200740CBC98BE7782h9wEH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Links>
    <vt:vector size="24" baseType="variant">
      <vt:variant>
        <vt:i4>6422635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consultantplus://offline/ref=4034CF97E9073F0A017303583EA54B147964980410959FEE7338E8D4E276BE4074FAFAE9170C577B3793C0E60752670DB298BC7E9E9C486Bh0w0H</vt:lpwstr>
      </vt:variant>
      <vt:variant>
        <vt:lpwstr/>
      </vt:variant>
      <vt:variant>
        <vt:i4>6422576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consultantplus://offline/ref=4034CF97E9073F0A017303583EA54B1479609A0E159E9FEE7338E8D4E276BE4074FAFAE9170C577A3693C0E60752670DB298BC7E9E9C486Bh0w0H</vt:lpwstr>
      </vt:variant>
      <vt:variant>
        <vt:lpwstr/>
      </vt:variant>
      <vt:variant>
        <vt:i4>6422576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consultantplus://offline/ref=4034CF97E9073F0A017303583EA54B1479619C0215929FEE7338E8D4E276BE4074FAFAE9170C577C3793C0E60752670DB298BC7E9E9C486Bh0w0H</vt:lpwstr>
      </vt:variant>
      <vt:variant>
        <vt:lpwstr/>
      </vt:variant>
      <vt:variant>
        <vt:i4>131165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consultantplus://offline/ref=4034CF97E9073F0A017303583EA54B1479609A0418909FEE7338E8D4E276BE4074FAFAEA13095C2C60DCC1BA4200740CBC98BE7782h9wEH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Лапаксина Светлана Александровна</cp:lastModifiedBy>
  <cp:revision>2</cp:revision>
  <cp:lastPrinted>2018-08-02T06:04:00Z</cp:lastPrinted>
  <dcterms:created xsi:type="dcterms:W3CDTF">2020-10-13T23:15:00Z</dcterms:created>
  <dcterms:modified xsi:type="dcterms:W3CDTF">2020-10-13T23:15:00Z</dcterms:modified>
</cp:coreProperties>
</file>